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F21A1" w14:textId="4DDA929B" w:rsidR="002B11F3" w:rsidRPr="00274106" w:rsidRDefault="002B11F3" w:rsidP="00D05136">
      <w:pPr>
        <w:pStyle w:val="Heading1"/>
        <w:jc w:val="center"/>
        <w:rPr>
          <w:rFonts w:ascii="Times New Roman" w:hAnsi="Times New Roman" w:cs="Times New Roman"/>
          <w:b/>
          <w:bCs/>
          <w:color w:val="000000" w:themeColor="text1"/>
          <w:sz w:val="24"/>
          <w:szCs w:val="24"/>
          <w:lang w:val="id-ID"/>
        </w:rPr>
      </w:pPr>
      <w:bookmarkStart w:id="0" w:name="_Toc172103587"/>
      <w:r w:rsidRPr="00274106">
        <w:rPr>
          <w:rFonts w:ascii="Times New Roman" w:hAnsi="Times New Roman" w:cs="Times New Roman"/>
          <w:b/>
          <w:bCs/>
          <w:color w:val="000000" w:themeColor="text1"/>
          <w:sz w:val="24"/>
          <w:szCs w:val="24"/>
          <w:lang w:val="id-ID"/>
        </w:rPr>
        <w:t>DAFTAR PUSTAKA</w:t>
      </w:r>
      <w:bookmarkEnd w:id="0"/>
    </w:p>
    <w:p w14:paraId="07F3E49E" w14:textId="77777777" w:rsidR="00F76096" w:rsidRPr="00274106" w:rsidRDefault="00F76096" w:rsidP="00F76096">
      <w:pPr>
        <w:rPr>
          <w:rFonts w:ascii="Times New Roman" w:hAnsi="Times New Roman" w:cs="Times New Roman"/>
          <w:sz w:val="24"/>
          <w:szCs w:val="24"/>
          <w:lang w:val="id-ID"/>
        </w:rPr>
      </w:pPr>
    </w:p>
    <w:p w14:paraId="04F3DE55" w14:textId="28A5F42D"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Pr="005C26CF">
        <w:rPr>
          <w:rFonts w:ascii="Times New Roman" w:hAnsi="Times New Roman" w:cs="Times New Roman"/>
          <w:noProof/>
          <w:sz w:val="24"/>
          <w:szCs w:val="24"/>
        </w:rPr>
        <w:t xml:space="preserve">Abd Rahman, M., &amp; Ahmad, H. (2018). Pengaruh Likuiditas, Profitabilitas dan Solvabilitas Terhadap Opini Audit Going Concern. </w:t>
      </w:r>
      <w:r w:rsidRPr="005C26CF">
        <w:rPr>
          <w:rFonts w:ascii="Times New Roman" w:hAnsi="Times New Roman" w:cs="Times New Roman"/>
          <w:i/>
          <w:iCs/>
          <w:noProof/>
          <w:sz w:val="24"/>
          <w:szCs w:val="24"/>
        </w:rPr>
        <w:t>CESJ: Center Of Economic Students Journal</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(1), 43–55.</w:t>
      </w:r>
    </w:p>
    <w:p w14:paraId="1AA5142F"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Agoes, S. (2012). </w:t>
      </w:r>
      <w:r w:rsidRPr="005C26CF">
        <w:rPr>
          <w:rFonts w:ascii="Times New Roman" w:hAnsi="Times New Roman" w:cs="Times New Roman"/>
          <w:i/>
          <w:iCs/>
          <w:noProof/>
          <w:sz w:val="24"/>
          <w:szCs w:val="24"/>
        </w:rPr>
        <w:t>Praktikum audit seri 2</w:t>
      </w:r>
      <w:r w:rsidRPr="005C26CF">
        <w:rPr>
          <w:rFonts w:ascii="Times New Roman" w:hAnsi="Times New Roman" w:cs="Times New Roman"/>
          <w:noProof/>
          <w:sz w:val="24"/>
          <w:szCs w:val="24"/>
        </w:rPr>
        <w:t>. Penerbit Salemba.</w:t>
      </w:r>
    </w:p>
    <w:p w14:paraId="4A04167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Ardini, A. (2021). Restoratif Justice Sebagai Pertimbangan Hakim Menjatuhkan Putusan Pidana Terhadap Anak Yang Melakukan Penganiayaan (Analisis Putusan Nomor 4/Pid. Sus-Anak/2018/Pn. Skw). </w:t>
      </w:r>
      <w:r w:rsidRPr="005C26CF">
        <w:rPr>
          <w:rFonts w:ascii="Times New Roman" w:hAnsi="Times New Roman" w:cs="Times New Roman"/>
          <w:i/>
          <w:iCs/>
          <w:noProof/>
          <w:sz w:val="24"/>
          <w:szCs w:val="24"/>
        </w:rPr>
        <w:t>Jurnal Ilmiah Mahasiswa Hukum [JIMHUM]</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(4).</w:t>
      </w:r>
    </w:p>
    <w:p w14:paraId="19DF4A7F"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Arma, E. U. (2013). Pengaruh Profitabilitas, Likuiditas, Dan Pertumbuhan Perusahaan Terhadap Penerimaan Opini Audit Going Concern (Studi Empiris Perusahaan Manufaktur yang Terdaftar Pada Bursa Efek Indonesia). </w:t>
      </w:r>
      <w:r w:rsidRPr="005C26CF">
        <w:rPr>
          <w:rFonts w:ascii="Times New Roman" w:hAnsi="Times New Roman" w:cs="Times New Roman"/>
          <w:i/>
          <w:iCs/>
          <w:noProof/>
          <w:sz w:val="24"/>
          <w:szCs w:val="24"/>
        </w:rPr>
        <w:t>Jurnal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(3).</w:t>
      </w:r>
    </w:p>
    <w:p w14:paraId="2639AD80"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Awie, R. P. U. (2014). </w:t>
      </w:r>
      <w:r w:rsidRPr="005C26CF">
        <w:rPr>
          <w:rFonts w:ascii="Times New Roman" w:hAnsi="Times New Roman" w:cs="Times New Roman"/>
          <w:i/>
          <w:iCs/>
          <w:noProof/>
          <w:sz w:val="24"/>
          <w:szCs w:val="24"/>
        </w:rPr>
        <w:t>PENGARUH PERGANTIAN AUDITOR, AUDIT REPORT LAG DAN REPUTASI KAP TERHADAP PENERIMAAN OPINI AUDIT GOING CONCERN: Studi Empiris Pada Perusahaan Manufaktur Yang Listing Di Bei Tahun 2012</w:t>
      </w:r>
      <w:r w:rsidRPr="005C26CF">
        <w:rPr>
          <w:rFonts w:ascii="Times New Roman" w:hAnsi="Times New Roman" w:cs="Times New Roman"/>
          <w:noProof/>
          <w:sz w:val="24"/>
          <w:szCs w:val="24"/>
        </w:rPr>
        <w:t>. Universitas Pendidikan Indonesia.</w:t>
      </w:r>
    </w:p>
    <w:p w14:paraId="0DC1C64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Christian, P., Paminto, A., &amp; Kadafi, M. A. (2018). Pengaruh manajemen aktiva terhadap laba. </w:t>
      </w:r>
      <w:r w:rsidRPr="005C26CF">
        <w:rPr>
          <w:rFonts w:ascii="Times New Roman" w:hAnsi="Times New Roman" w:cs="Times New Roman"/>
          <w:i/>
          <w:iCs/>
          <w:noProof/>
          <w:sz w:val="24"/>
          <w:szCs w:val="24"/>
        </w:rPr>
        <w:t>Kinerja: Jurnal Ekonomi Dan Manajemen</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15</w:t>
      </w:r>
      <w:r w:rsidRPr="005C26CF">
        <w:rPr>
          <w:rFonts w:ascii="Times New Roman" w:hAnsi="Times New Roman" w:cs="Times New Roman"/>
          <w:noProof/>
          <w:sz w:val="24"/>
          <w:szCs w:val="24"/>
        </w:rPr>
        <w:t>(1), 21–28.</w:t>
      </w:r>
    </w:p>
    <w:p w14:paraId="5DE0E6F6"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Dewi, F. Y., &amp; Astutie, Y. P. (2023). Pengaruh Komisaris Independen Koneksi Politik dan Profitabilitas Terhadap Penghindaran Pajak. </w:t>
      </w:r>
      <w:r w:rsidRPr="005C26CF">
        <w:rPr>
          <w:rFonts w:ascii="Times New Roman" w:hAnsi="Times New Roman" w:cs="Times New Roman"/>
          <w:i/>
          <w:iCs/>
          <w:noProof/>
          <w:sz w:val="24"/>
          <w:szCs w:val="24"/>
        </w:rPr>
        <w:t>JABKO: Jurnal Akuntansi Dan Bisnis Kontemporer</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3</w:t>
      </w:r>
      <w:r w:rsidRPr="005C26CF">
        <w:rPr>
          <w:rFonts w:ascii="Times New Roman" w:hAnsi="Times New Roman" w:cs="Times New Roman"/>
          <w:noProof/>
          <w:sz w:val="24"/>
          <w:szCs w:val="24"/>
        </w:rPr>
        <w:t>(2), 48. http://jabko.upstegal.ac.id/index.php/JABKO</w:t>
      </w:r>
    </w:p>
    <w:p w14:paraId="180962A8"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Diyanti, F. T. (2010). Pengaruh debt default, pergantian auditor, dan ukuran perusahaan Terhadap penerimaan Opini Audit going concern. </w:t>
      </w:r>
      <w:r w:rsidRPr="005C26CF">
        <w:rPr>
          <w:rFonts w:ascii="Times New Roman" w:hAnsi="Times New Roman" w:cs="Times New Roman"/>
          <w:i/>
          <w:iCs/>
          <w:noProof/>
          <w:sz w:val="24"/>
          <w:szCs w:val="24"/>
        </w:rPr>
        <w:t>Jurnal Universitas Gunadarma</w:t>
      </w:r>
      <w:r w:rsidRPr="005C26CF">
        <w:rPr>
          <w:rFonts w:ascii="Times New Roman" w:hAnsi="Times New Roman" w:cs="Times New Roman"/>
          <w:noProof/>
          <w:sz w:val="24"/>
          <w:szCs w:val="24"/>
        </w:rPr>
        <w:t>.</w:t>
      </w:r>
    </w:p>
    <w:p w14:paraId="3B1A811A"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Exchange, I. S. (2022). Penentuan Audit Opini Kelangsungan Hidup Pada Perusahaan Sektor Transportasi Yang Terdaftar Pada Bursa Efek Indonesia. </w:t>
      </w:r>
      <w:r w:rsidRPr="005C26CF">
        <w:rPr>
          <w:rFonts w:ascii="Times New Roman" w:hAnsi="Times New Roman" w:cs="Times New Roman"/>
          <w:i/>
          <w:iCs/>
          <w:noProof/>
          <w:sz w:val="24"/>
          <w:szCs w:val="24"/>
        </w:rPr>
        <w:t>E-Jurnal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32</w:t>
      </w:r>
      <w:r w:rsidRPr="005C26CF">
        <w:rPr>
          <w:rFonts w:ascii="Times New Roman" w:hAnsi="Times New Roman" w:cs="Times New Roman"/>
          <w:noProof/>
          <w:sz w:val="24"/>
          <w:szCs w:val="24"/>
        </w:rPr>
        <w:t>(6), 1550–1564.</w:t>
      </w:r>
    </w:p>
    <w:p w14:paraId="02D79386"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Fahmi, I. (2014). Analisis Laporan Keuangan (Cetakan Keempat). </w:t>
      </w:r>
      <w:r w:rsidRPr="005C26CF">
        <w:rPr>
          <w:rFonts w:ascii="Times New Roman" w:hAnsi="Times New Roman" w:cs="Times New Roman"/>
          <w:i/>
          <w:iCs/>
          <w:noProof/>
          <w:sz w:val="24"/>
          <w:szCs w:val="24"/>
        </w:rPr>
        <w:t>Bandung: Alfabeta</w:t>
      </w:r>
      <w:r w:rsidRPr="005C26CF">
        <w:rPr>
          <w:rFonts w:ascii="Times New Roman" w:hAnsi="Times New Roman" w:cs="Times New Roman"/>
          <w:noProof/>
          <w:sz w:val="24"/>
          <w:szCs w:val="24"/>
        </w:rPr>
        <w:t>.</w:t>
      </w:r>
    </w:p>
    <w:p w14:paraId="23431D53"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Firmansjah, E., &amp; Meiden, C. (2021). Beberapa Faktor Yang Berpengaruh Terhadap Kemungkinan Penerimaan Opini Audit Going Concern Pada Perusahaan Pertambangan Dan Pertanian Yang Terdaftar Di Bursa Efek Indonesia Periode 2017-2019. </w:t>
      </w:r>
      <w:r w:rsidRPr="005C26CF">
        <w:rPr>
          <w:rFonts w:ascii="Times New Roman" w:hAnsi="Times New Roman" w:cs="Times New Roman"/>
          <w:i/>
          <w:iCs/>
          <w:noProof/>
          <w:sz w:val="24"/>
          <w:szCs w:val="24"/>
        </w:rPr>
        <w:t>Jurnal Akuntansi Bisnis Dan Ekonomi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7</w:t>
      </w:r>
      <w:r w:rsidRPr="005C26CF">
        <w:rPr>
          <w:rFonts w:ascii="Times New Roman" w:hAnsi="Times New Roman" w:cs="Times New Roman"/>
          <w:noProof/>
          <w:sz w:val="24"/>
          <w:szCs w:val="24"/>
        </w:rPr>
        <w:t>(1), 1789–1804.</w:t>
      </w:r>
    </w:p>
    <w:p w14:paraId="60C8C1FC"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Fitriani, M. d, &amp; Asiah, A. N. (2019). Pengaruh Profitabilitas, Likuiditas Dan </w:t>
      </w:r>
      <w:r w:rsidRPr="005C26CF">
        <w:rPr>
          <w:rFonts w:ascii="Times New Roman" w:hAnsi="Times New Roman" w:cs="Times New Roman"/>
          <w:noProof/>
          <w:sz w:val="24"/>
          <w:szCs w:val="24"/>
        </w:rPr>
        <w:lastRenderedPageBreak/>
        <w:t xml:space="preserve">Ukuran Perusahaan Terhadap Opini Audit Going Concern. </w:t>
      </w:r>
      <w:r w:rsidRPr="005C26CF">
        <w:rPr>
          <w:rFonts w:ascii="Times New Roman" w:hAnsi="Times New Roman" w:cs="Times New Roman"/>
          <w:i/>
          <w:iCs/>
          <w:noProof/>
          <w:sz w:val="24"/>
          <w:szCs w:val="24"/>
        </w:rPr>
        <w:t>Jurnal Manajemen Dan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19</w:t>
      </w:r>
      <w:r w:rsidRPr="005C26CF">
        <w:rPr>
          <w:rFonts w:ascii="Times New Roman" w:hAnsi="Times New Roman" w:cs="Times New Roman"/>
          <w:noProof/>
          <w:sz w:val="24"/>
          <w:szCs w:val="24"/>
        </w:rPr>
        <w:t>(2).</w:t>
      </w:r>
    </w:p>
    <w:p w14:paraId="10C6C04F"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Fuad, M., &amp; Al Mughni, N. (2018). Analisis Pengaruh Rasio Keuangan terhadap Return Saham PT. Adhi Karya (Persero) Tbk. </w:t>
      </w:r>
      <w:r w:rsidRPr="005C26CF">
        <w:rPr>
          <w:rFonts w:ascii="Times New Roman" w:hAnsi="Times New Roman" w:cs="Times New Roman"/>
          <w:i/>
          <w:iCs/>
          <w:noProof/>
          <w:sz w:val="24"/>
          <w:szCs w:val="24"/>
        </w:rPr>
        <w:t>Jurnal Samudra Ekonomi Dan Bisnis</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9</w:t>
      </w:r>
      <w:r w:rsidRPr="005C26CF">
        <w:rPr>
          <w:rFonts w:ascii="Times New Roman" w:hAnsi="Times New Roman" w:cs="Times New Roman"/>
          <w:noProof/>
          <w:sz w:val="24"/>
          <w:szCs w:val="24"/>
        </w:rPr>
        <w:t>(2), 116–127.</w:t>
      </w:r>
    </w:p>
    <w:p w14:paraId="33CC4F6C"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Ginting, S., &amp; Tarihoran, A. (2017). Faktor-faktor yang mempengaruhi pernyataan going concern. </w:t>
      </w:r>
      <w:r w:rsidRPr="005C26CF">
        <w:rPr>
          <w:rFonts w:ascii="Times New Roman" w:hAnsi="Times New Roman" w:cs="Times New Roman"/>
          <w:i/>
          <w:iCs/>
          <w:noProof/>
          <w:sz w:val="24"/>
          <w:szCs w:val="24"/>
        </w:rPr>
        <w:t>Jurnal Wira Ekonomi Mikroskil</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7</w:t>
      </w:r>
      <w:r w:rsidRPr="005C26CF">
        <w:rPr>
          <w:rFonts w:ascii="Times New Roman" w:hAnsi="Times New Roman" w:cs="Times New Roman"/>
          <w:noProof/>
          <w:sz w:val="24"/>
          <w:szCs w:val="24"/>
        </w:rPr>
        <w:t>(1), 9–20.</w:t>
      </w:r>
    </w:p>
    <w:p w14:paraId="400FA8F8"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Haniffa, R. M., &amp; Cooke, T. E. (2005). The impact of culture and governance on corporate social reporting. </w:t>
      </w:r>
      <w:r w:rsidRPr="005C26CF">
        <w:rPr>
          <w:rFonts w:ascii="Times New Roman" w:hAnsi="Times New Roman" w:cs="Times New Roman"/>
          <w:i/>
          <w:iCs/>
          <w:noProof/>
          <w:sz w:val="24"/>
          <w:szCs w:val="24"/>
        </w:rPr>
        <w:t>Journal of Accounting and Public Policy</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24</w:t>
      </w:r>
      <w:r w:rsidRPr="005C26CF">
        <w:rPr>
          <w:rFonts w:ascii="Times New Roman" w:hAnsi="Times New Roman" w:cs="Times New Roman"/>
          <w:noProof/>
          <w:sz w:val="24"/>
          <w:szCs w:val="24"/>
        </w:rPr>
        <w:t>(5), 391–430.</w:t>
      </w:r>
    </w:p>
    <w:p w14:paraId="33D1F78E"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Hantono, H. (2021). Faktor Yang Mempengaruhi Penerimaan Opini Audit Going Concern (Studi Empiris pada Industri Dasar dan Kimia yang terdaftar di Bursa Efek Indonesia). </w:t>
      </w:r>
      <w:r w:rsidRPr="005C26CF">
        <w:rPr>
          <w:rFonts w:ascii="Times New Roman" w:hAnsi="Times New Roman" w:cs="Times New Roman"/>
          <w:i/>
          <w:iCs/>
          <w:noProof/>
          <w:sz w:val="24"/>
          <w:szCs w:val="24"/>
        </w:rPr>
        <w:t>Jurnal Audit Dan Perpajakan (JAP)</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(1), 1–11.</w:t>
      </w:r>
    </w:p>
    <w:p w14:paraId="1912C4AD"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Hati, I. P., &amp; Rosini, I. (2017). Pengaruh Opini Audit Tahun Sebelumnya dan Kondisi Keuangan terhadap Opini Audit Going Concern. </w:t>
      </w:r>
      <w:r w:rsidRPr="005C26CF">
        <w:rPr>
          <w:rFonts w:ascii="Times New Roman" w:hAnsi="Times New Roman" w:cs="Times New Roman"/>
          <w:i/>
          <w:iCs/>
          <w:noProof/>
          <w:sz w:val="24"/>
          <w:szCs w:val="24"/>
        </w:rPr>
        <w:t>Journal of Applied Accounting and Taxation</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2</w:t>
      </w:r>
      <w:r w:rsidRPr="005C26CF">
        <w:rPr>
          <w:rFonts w:ascii="Times New Roman" w:hAnsi="Times New Roman" w:cs="Times New Roman"/>
          <w:noProof/>
          <w:sz w:val="24"/>
          <w:szCs w:val="24"/>
        </w:rPr>
        <w:t>(2), 123–133.</w:t>
      </w:r>
    </w:p>
    <w:p w14:paraId="000FDC45"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Hendang Tanusdjaja, F. I. (2020). Pengaruh Profitabilitas, Likuiditas, Dan Solvabilitas Terhadap Opini Audit Terkait Going Concern (Studi Pada Perusahaan Manufaktur Yang Terdaftar Di Bei Periode 2015 – 2017). </w:t>
      </w:r>
      <w:r w:rsidRPr="005C26CF">
        <w:rPr>
          <w:rFonts w:ascii="Times New Roman" w:hAnsi="Times New Roman" w:cs="Times New Roman"/>
          <w:i/>
          <w:iCs/>
          <w:noProof/>
          <w:sz w:val="24"/>
          <w:szCs w:val="24"/>
        </w:rPr>
        <w:t>Jurnal Paradigma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2</w:t>
      </w:r>
      <w:r w:rsidRPr="005C26CF">
        <w:rPr>
          <w:rFonts w:ascii="Times New Roman" w:hAnsi="Times New Roman" w:cs="Times New Roman"/>
          <w:noProof/>
          <w:sz w:val="24"/>
          <w:szCs w:val="24"/>
        </w:rPr>
        <w:t>(1), 298. https://doi.org/10.24912/jpa.v2i1.7158</w:t>
      </w:r>
    </w:p>
    <w:p w14:paraId="7B81F81D"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Krissindiastuti, M., &amp; Rasmini, N. K. (2016). Faktor-faktor yang mempengaruhi opini audit going concern. </w:t>
      </w:r>
      <w:r w:rsidRPr="005C26CF">
        <w:rPr>
          <w:rFonts w:ascii="Times New Roman" w:hAnsi="Times New Roman" w:cs="Times New Roman"/>
          <w:i/>
          <w:iCs/>
          <w:noProof/>
          <w:sz w:val="24"/>
          <w:szCs w:val="24"/>
        </w:rPr>
        <w:t>E-Jurnal Akuntansi Universitas Udayana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14</w:t>
      </w:r>
      <w:r w:rsidRPr="005C26CF">
        <w:rPr>
          <w:rFonts w:ascii="Times New Roman" w:hAnsi="Times New Roman" w:cs="Times New Roman"/>
          <w:noProof/>
          <w:sz w:val="24"/>
          <w:szCs w:val="24"/>
        </w:rPr>
        <w:t>(1), 451–481.</w:t>
      </w:r>
    </w:p>
    <w:p w14:paraId="44186174"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Kristiana, I. (2012a). Pengaruh pertumbuhan perusahaan terhadap opini audit going concern pada perusahaan manufaktur yang terdaftar di Bursa Efek Indonesia (BEI). </w:t>
      </w:r>
      <w:r w:rsidRPr="005C26CF">
        <w:rPr>
          <w:rFonts w:ascii="Times New Roman" w:hAnsi="Times New Roman" w:cs="Times New Roman"/>
          <w:i/>
          <w:iCs/>
          <w:noProof/>
          <w:sz w:val="24"/>
          <w:szCs w:val="24"/>
        </w:rPr>
        <w:t>Berkala Ilmiah Mahasiswa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(1), 47–51.</w:t>
      </w:r>
    </w:p>
    <w:p w14:paraId="765F7C6C"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Kristiana, I. (2012b). Pengaruh Ukuran Perusahaan, Profitabilitas, Likuiditas, Pertumbuhanperusahaan Terhadap Opini Audit Going Concern Pada Perusahaan Manufaktur Yang Terdaftar Di Bursa Efek Indonesia (Bei). </w:t>
      </w:r>
      <w:r w:rsidRPr="005C26CF">
        <w:rPr>
          <w:rFonts w:ascii="Times New Roman" w:hAnsi="Times New Roman" w:cs="Times New Roman"/>
          <w:i/>
          <w:iCs/>
          <w:noProof/>
          <w:sz w:val="24"/>
          <w:szCs w:val="24"/>
        </w:rPr>
        <w:t>Berkala Ilmiah Mahasiswa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(1).</w:t>
      </w:r>
    </w:p>
    <w:p w14:paraId="483540E8"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Kurniawati, E., &amp; Murti, W. (2017). Pengaruh Profitabilitas, Likuiditas Dan Ukuran Perusahaan Terhadap Opini Audit Going Concern (Studi Kasus Pada Perusahaan Tekstil Dan Garment Yang Terdaftar Di Bursa Efek Indonesia). </w:t>
      </w:r>
      <w:r w:rsidRPr="005C26CF">
        <w:rPr>
          <w:rFonts w:ascii="Times New Roman" w:hAnsi="Times New Roman" w:cs="Times New Roman"/>
          <w:i/>
          <w:iCs/>
          <w:noProof/>
          <w:sz w:val="24"/>
          <w:szCs w:val="24"/>
        </w:rPr>
        <w:t>Jurnal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11</w:t>
      </w:r>
      <w:r w:rsidRPr="005C26CF">
        <w:rPr>
          <w:rFonts w:ascii="Times New Roman" w:hAnsi="Times New Roman" w:cs="Times New Roman"/>
          <w:noProof/>
          <w:sz w:val="24"/>
          <w:szCs w:val="24"/>
        </w:rPr>
        <w:t>(2).</w:t>
      </w:r>
    </w:p>
    <w:p w14:paraId="3E07DFE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Kusumaningrum, Y., &amp; Zulaikha, Z. (2019). Analisis pengaruh ukuran perusahaan, likuiditas dan leverage terhadap penerimaan opini audit going concern. </w:t>
      </w:r>
      <w:r w:rsidRPr="005C26CF">
        <w:rPr>
          <w:rFonts w:ascii="Times New Roman" w:hAnsi="Times New Roman" w:cs="Times New Roman"/>
          <w:i/>
          <w:iCs/>
          <w:noProof/>
          <w:sz w:val="24"/>
          <w:szCs w:val="24"/>
        </w:rPr>
        <w:t>Diponegoro Journal of Accounting</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8</w:t>
      </w:r>
      <w:r w:rsidRPr="005C26CF">
        <w:rPr>
          <w:rFonts w:ascii="Times New Roman" w:hAnsi="Times New Roman" w:cs="Times New Roman"/>
          <w:noProof/>
          <w:sz w:val="24"/>
          <w:szCs w:val="24"/>
        </w:rPr>
        <w:t>(4).</w:t>
      </w:r>
    </w:p>
    <w:p w14:paraId="4F2619D4"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Laksmiati, E. D., &amp; Atiningsih, S. (2018). Pengaruh Auditor Switching, Reputasi Kap Dan Financial Distress Terhadap Opini Audit Going Concern. </w:t>
      </w:r>
      <w:r w:rsidRPr="005C26CF">
        <w:rPr>
          <w:rFonts w:ascii="Times New Roman" w:hAnsi="Times New Roman" w:cs="Times New Roman"/>
          <w:i/>
          <w:iCs/>
          <w:noProof/>
          <w:sz w:val="24"/>
          <w:szCs w:val="24"/>
        </w:rPr>
        <w:t>Fokus Ekonomi: Jurnal Ilmiah Ekonomi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13</w:t>
      </w:r>
      <w:r w:rsidRPr="005C26CF">
        <w:rPr>
          <w:rFonts w:ascii="Times New Roman" w:hAnsi="Times New Roman" w:cs="Times New Roman"/>
          <w:noProof/>
          <w:sz w:val="24"/>
          <w:szCs w:val="24"/>
        </w:rPr>
        <w:t>(1), 45–61.</w:t>
      </w:r>
    </w:p>
    <w:p w14:paraId="03B9C398"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Lie, C., Wardani, R. P., &amp; Pikir, T. W. (2016). Pengaruh likuiditas, solvabilitas, profitabilitas, dan rencana manajemen terhadap opini audit going concern (studi empiris perusahaan manufaktur di BEI). </w:t>
      </w:r>
      <w:r w:rsidRPr="005C26CF">
        <w:rPr>
          <w:rFonts w:ascii="Times New Roman" w:hAnsi="Times New Roman" w:cs="Times New Roman"/>
          <w:i/>
          <w:iCs/>
          <w:noProof/>
          <w:sz w:val="24"/>
          <w:szCs w:val="24"/>
        </w:rPr>
        <w:t>Berkala Akuntansi Dan Keuangan Indonesia (BAKI)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(2), 84–105.</w:t>
      </w:r>
    </w:p>
    <w:p w14:paraId="08914F13"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Mardhatillah, V. (2019). </w:t>
      </w:r>
      <w:r w:rsidRPr="005C26CF">
        <w:rPr>
          <w:rFonts w:ascii="Times New Roman" w:hAnsi="Times New Roman" w:cs="Times New Roman"/>
          <w:i/>
          <w:iCs/>
          <w:noProof/>
          <w:sz w:val="24"/>
          <w:szCs w:val="24"/>
        </w:rPr>
        <w:t>Pengaruh Opini Audit Tahun Sebelumnya, Pertumbuhan Perusahaan, Reputasi Auditor, dan Likuiditas Terhadap Penerimaan Opini Audit Going Concern</w:t>
      </w:r>
      <w:r w:rsidRPr="005C26CF">
        <w:rPr>
          <w:rFonts w:ascii="Times New Roman" w:hAnsi="Times New Roman" w:cs="Times New Roman"/>
          <w:noProof/>
          <w:sz w:val="24"/>
          <w:szCs w:val="24"/>
        </w:rPr>
        <w:t>. Universitas Brawijaya.</w:t>
      </w:r>
    </w:p>
    <w:p w14:paraId="49934FDD"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Mariana, G., Dwi Purbo Kuncoro, M., &amp; Ryando. (2018). Pengaruh Debt Default, Disclosure Level, dan Audit Kag Terhadap Opini Audit Going Concern (Studi Empiris Pada Perusahaan). </w:t>
      </w:r>
      <w:r w:rsidRPr="005C26CF">
        <w:rPr>
          <w:rFonts w:ascii="Times New Roman" w:hAnsi="Times New Roman" w:cs="Times New Roman"/>
          <w:i/>
          <w:iCs/>
          <w:noProof/>
          <w:sz w:val="24"/>
          <w:szCs w:val="24"/>
        </w:rPr>
        <w:t>Seminar Nasional Cendekiawan Ke</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4</w:t>
      </w:r>
      <w:r w:rsidRPr="005C26CF">
        <w:rPr>
          <w:rFonts w:ascii="Times New Roman" w:hAnsi="Times New Roman" w:cs="Times New Roman"/>
          <w:noProof/>
          <w:sz w:val="24"/>
          <w:szCs w:val="24"/>
        </w:rPr>
        <w:t>(2), 1043–1053.</w:t>
      </w:r>
    </w:p>
    <w:p w14:paraId="336BA176"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Minerva, L., Sumeisey, V. S., Stefani, S., Wijaya, S., &amp; Lim, C. A. (2020). Pengaruh kualitas audit, debt ratio, ukuran perusahaan dan audit lag terhadap opini audit going concern. </w:t>
      </w:r>
      <w:r w:rsidRPr="005C26CF">
        <w:rPr>
          <w:rFonts w:ascii="Times New Roman" w:hAnsi="Times New Roman" w:cs="Times New Roman"/>
          <w:i/>
          <w:iCs/>
          <w:noProof/>
          <w:sz w:val="24"/>
          <w:szCs w:val="24"/>
        </w:rPr>
        <w:t>Owner: Riset Dan Jurnal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4</w:t>
      </w:r>
      <w:r w:rsidRPr="005C26CF">
        <w:rPr>
          <w:rFonts w:ascii="Times New Roman" w:hAnsi="Times New Roman" w:cs="Times New Roman"/>
          <w:noProof/>
          <w:sz w:val="24"/>
          <w:szCs w:val="24"/>
        </w:rPr>
        <w:t>(1), 254–266.</w:t>
      </w:r>
    </w:p>
    <w:p w14:paraId="431DECF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Miraningtyas, A. S. A., &amp; Yudowati, S. P. (2019). Pengaruh Likuiditas, Reputasi Auditor Dan Disclosure Terhadap Pemberian Opini Audit Going Concern. </w:t>
      </w:r>
      <w:r w:rsidRPr="005C26CF">
        <w:rPr>
          <w:rFonts w:ascii="Times New Roman" w:hAnsi="Times New Roman" w:cs="Times New Roman"/>
          <w:i/>
          <w:iCs/>
          <w:noProof/>
          <w:sz w:val="24"/>
          <w:szCs w:val="24"/>
        </w:rPr>
        <w:t>Jurnal Ilmiah Manajemen, Ekonomi, &amp; Akuntansi (MEA)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3</w:t>
      </w:r>
      <w:r w:rsidRPr="005C26CF">
        <w:rPr>
          <w:rFonts w:ascii="Times New Roman" w:hAnsi="Times New Roman" w:cs="Times New Roman"/>
          <w:noProof/>
          <w:sz w:val="24"/>
          <w:szCs w:val="24"/>
        </w:rPr>
        <w:t>(3), 76–85.</w:t>
      </w:r>
    </w:p>
    <w:p w14:paraId="6E192D1A"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Nurpratiwi, V., &amp; Rahardjo, S. N. (2014). Analisis Pengaruh Ukuran Perusahaan, Struktur Kepemilikan, Faktor Komite Audit, Rasio Profitabilitas, Dan Rasio Aktivitas Terhadap Penerimaan Opini Audit Going Concern. </w:t>
      </w:r>
      <w:r w:rsidRPr="005C26CF">
        <w:rPr>
          <w:rFonts w:ascii="Times New Roman" w:hAnsi="Times New Roman" w:cs="Times New Roman"/>
          <w:i/>
          <w:iCs/>
          <w:noProof/>
          <w:sz w:val="24"/>
          <w:szCs w:val="24"/>
        </w:rPr>
        <w:t>Diponegoro Journal of Accounting</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3</w:t>
      </w:r>
      <w:r w:rsidRPr="005C26CF">
        <w:rPr>
          <w:rFonts w:ascii="Times New Roman" w:hAnsi="Times New Roman" w:cs="Times New Roman"/>
          <w:noProof/>
          <w:sz w:val="24"/>
          <w:szCs w:val="24"/>
        </w:rPr>
        <w:t>(3), 643–657.</w:t>
      </w:r>
    </w:p>
    <w:p w14:paraId="56E42911"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Nursasi, E., &amp; Maria, E. (2015). Pengaruh audit tenure, opinion shopping, leverage dan pertumbuhan perusahaan terhadap penerimaan opini audit going concern pada perusahaan perbankan dan pembiayaan yang go public di bursa efek indonesia. </w:t>
      </w:r>
      <w:r w:rsidRPr="005C26CF">
        <w:rPr>
          <w:rFonts w:ascii="Times New Roman" w:hAnsi="Times New Roman" w:cs="Times New Roman"/>
          <w:i/>
          <w:iCs/>
          <w:noProof/>
          <w:sz w:val="24"/>
          <w:szCs w:val="24"/>
        </w:rPr>
        <w:t>Jurnal Jibeka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9</w:t>
      </w:r>
      <w:r w:rsidRPr="005C26CF">
        <w:rPr>
          <w:rFonts w:ascii="Times New Roman" w:hAnsi="Times New Roman" w:cs="Times New Roman"/>
          <w:noProof/>
          <w:sz w:val="24"/>
          <w:szCs w:val="24"/>
        </w:rPr>
        <w:t>(1), 37–43.</w:t>
      </w:r>
    </w:p>
    <w:p w14:paraId="0A085D4D"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Prabowo, R. Y., Rahmatika, D. N., &amp; Mubarok, A. (2019). Pengaruh Struktur Aset, Profitabilitas, Kebijakan Dividen, Pertumbuhan Perusahaan dan Ukuran Perusahaan Terhadap Kebijakan Hutang pada Perusahaan Perbankan yang Listing di BEI Tahun 2015-2018. </w:t>
      </w:r>
      <w:r w:rsidRPr="005C26CF">
        <w:rPr>
          <w:rFonts w:ascii="Times New Roman" w:hAnsi="Times New Roman" w:cs="Times New Roman"/>
          <w:i/>
          <w:iCs/>
          <w:noProof/>
          <w:sz w:val="24"/>
          <w:szCs w:val="24"/>
        </w:rPr>
        <w:t>Permana : Jurnal Perpajakan, Manajemen, Dan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11</w:t>
      </w:r>
      <w:r w:rsidRPr="005C26CF">
        <w:rPr>
          <w:rFonts w:ascii="Times New Roman" w:hAnsi="Times New Roman" w:cs="Times New Roman"/>
          <w:noProof/>
          <w:sz w:val="24"/>
          <w:szCs w:val="24"/>
        </w:rPr>
        <w:t>(2), 100–118. https://doi.org/10.24905/permana.v11i2.48</w:t>
      </w:r>
    </w:p>
    <w:p w14:paraId="7DF00A91"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Pradika, R. A., &amp; Sukirno, S. (2017). Pengaruh Profitabilitas, Likuiditas, Dan Ukuran Perusahaan Terhadap Opini Audit Going Concern (Studi Pada Perusahaan Manufaktur Yang Terdaftar Di Bursa Efek Indonesia Tahun 2012-2015). </w:t>
      </w:r>
      <w:r w:rsidRPr="005C26CF">
        <w:rPr>
          <w:rFonts w:ascii="Times New Roman" w:hAnsi="Times New Roman" w:cs="Times New Roman"/>
          <w:i/>
          <w:iCs/>
          <w:noProof/>
          <w:sz w:val="24"/>
          <w:szCs w:val="24"/>
        </w:rPr>
        <w:t>Jurnal Profita: Kajian Ilmu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5</w:t>
      </w:r>
      <w:r w:rsidRPr="005C26CF">
        <w:rPr>
          <w:rFonts w:ascii="Times New Roman" w:hAnsi="Times New Roman" w:cs="Times New Roman"/>
          <w:noProof/>
          <w:sz w:val="24"/>
          <w:szCs w:val="24"/>
        </w:rPr>
        <w:t>(5).</w:t>
      </w:r>
    </w:p>
    <w:p w14:paraId="7CD25455"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Priyadi, M. P. (2018). Pengaruh profitabilitas dan size terhadap nilai perusahaan dengan CSR sebagai variabel pemoderasi. </w:t>
      </w:r>
      <w:r w:rsidRPr="005C26CF">
        <w:rPr>
          <w:rFonts w:ascii="Times New Roman" w:hAnsi="Times New Roman" w:cs="Times New Roman"/>
          <w:i/>
          <w:iCs/>
          <w:noProof/>
          <w:sz w:val="24"/>
          <w:szCs w:val="24"/>
        </w:rPr>
        <w:t>Jurnal Ilmu Dan Riset Akuntansi (JIRA)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7</w:t>
      </w:r>
      <w:r w:rsidRPr="005C26CF">
        <w:rPr>
          <w:rFonts w:ascii="Times New Roman" w:hAnsi="Times New Roman" w:cs="Times New Roman"/>
          <w:noProof/>
          <w:sz w:val="24"/>
          <w:szCs w:val="24"/>
        </w:rPr>
        <w:t>(3).</w:t>
      </w:r>
    </w:p>
    <w:p w14:paraId="2BFA443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Rachman, A., Afifudin, A., &amp; Mawardi, M. C. (2020). PENGARUH LIKUIDITAS DAN PERTUMBUHAN PERUSAHAAN TERHADAP OPINI AUDIT GOING CONCERN (Studi Empiris pada Perushaan Manufaktur yang terdaftar di BEI Pada Periode Tahun 2016-2018). </w:t>
      </w:r>
      <w:r w:rsidRPr="005C26CF">
        <w:rPr>
          <w:rFonts w:ascii="Times New Roman" w:hAnsi="Times New Roman" w:cs="Times New Roman"/>
          <w:i/>
          <w:iCs/>
          <w:noProof/>
          <w:sz w:val="24"/>
          <w:szCs w:val="24"/>
        </w:rPr>
        <w:t>E_Jurnal Ilmiah Riset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9</w:t>
      </w:r>
      <w:r w:rsidRPr="005C26CF">
        <w:rPr>
          <w:rFonts w:ascii="Times New Roman" w:hAnsi="Times New Roman" w:cs="Times New Roman"/>
          <w:noProof/>
          <w:sz w:val="24"/>
          <w:szCs w:val="24"/>
        </w:rPr>
        <w:t>(04).</w:t>
      </w:r>
    </w:p>
    <w:p w14:paraId="3B184EF2"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Rahayu, A. W., &amp; Pratiwi, C. W. (2011). Pengaruh opini audit tahun sebelumnya, pertumbuhan perusahaan, leverage dan reputasi auditor terhadap penerimaan opini audit going concern. </w:t>
      </w:r>
      <w:r w:rsidRPr="005C26CF">
        <w:rPr>
          <w:rFonts w:ascii="Times New Roman" w:hAnsi="Times New Roman" w:cs="Times New Roman"/>
          <w:i/>
          <w:iCs/>
          <w:noProof/>
          <w:sz w:val="24"/>
          <w:szCs w:val="24"/>
        </w:rPr>
        <w:t>Proceeding PESAT (Psikologi, Ekonomi, Sastra, Arsitektur &amp;Sipil)</w:t>
      </w:r>
      <w:r w:rsidRPr="005C26CF">
        <w:rPr>
          <w:rFonts w:ascii="Times New Roman" w:hAnsi="Times New Roman" w:cs="Times New Roman"/>
          <w:noProof/>
          <w:sz w:val="24"/>
          <w:szCs w:val="24"/>
        </w:rPr>
        <w:t>.</w:t>
      </w:r>
    </w:p>
    <w:p w14:paraId="2E9966A4"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Rudyawan, A. P., &amp; Badera, I. D. N. (2009). Opini Audit Going Concern: Kajian Berdasarkan Model Prediksi Kebangkrutan, Pertumbuhan Perusahaan, Leverage, Dan Reputasi Auditor. </w:t>
      </w:r>
      <w:r w:rsidRPr="005C26CF">
        <w:rPr>
          <w:rFonts w:ascii="Times New Roman" w:hAnsi="Times New Roman" w:cs="Times New Roman"/>
          <w:i/>
          <w:iCs/>
          <w:noProof/>
          <w:sz w:val="24"/>
          <w:szCs w:val="24"/>
        </w:rPr>
        <w:t>Jurnal Ilmiah Akuntansi Dan Bisnis</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4</w:t>
      </w:r>
      <w:r w:rsidRPr="005C26CF">
        <w:rPr>
          <w:rFonts w:ascii="Times New Roman" w:hAnsi="Times New Roman" w:cs="Times New Roman"/>
          <w:noProof/>
          <w:sz w:val="24"/>
          <w:szCs w:val="24"/>
        </w:rPr>
        <w:t>(2), 129–138.</w:t>
      </w:r>
    </w:p>
    <w:p w14:paraId="4E037B6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Rusdiana, U. (2019). </w:t>
      </w:r>
      <w:r w:rsidRPr="005C26CF">
        <w:rPr>
          <w:rFonts w:ascii="Times New Roman" w:hAnsi="Times New Roman" w:cs="Times New Roman"/>
          <w:i/>
          <w:iCs/>
          <w:noProof/>
          <w:sz w:val="24"/>
          <w:szCs w:val="24"/>
        </w:rPr>
        <w:t>Pengaruh Profitabilitas, Likuiditas, Solvabilitas Dan Ukuran Perusahaan Terhadap Opini Audit Going Concern Pada Perusahaan Sektor Infrastruktur, Utilitas dan Transportasi yang Terdaftar Di BEI 2015-2018</w:t>
      </w:r>
      <w:r w:rsidRPr="005C26CF">
        <w:rPr>
          <w:rFonts w:ascii="Times New Roman" w:hAnsi="Times New Roman" w:cs="Times New Roman"/>
          <w:noProof/>
          <w:sz w:val="24"/>
          <w:szCs w:val="24"/>
        </w:rPr>
        <w:t>. Universitas Islam Riau.</w:t>
      </w:r>
    </w:p>
    <w:p w14:paraId="76A2898A"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Safriliana, R., &amp; Muawanah, S. (2019). Faktor yang memengaruhi auditor switching di Indonesia. </w:t>
      </w:r>
      <w:r w:rsidRPr="005C26CF">
        <w:rPr>
          <w:rFonts w:ascii="Times New Roman" w:hAnsi="Times New Roman" w:cs="Times New Roman"/>
          <w:i/>
          <w:iCs/>
          <w:noProof/>
          <w:sz w:val="24"/>
          <w:szCs w:val="24"/>
        </w:rPr>
        <w:t>Jurnal Akuntansi Aktual</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5</w:t>
      </w:r>
      <w:r w:rsidRPr="005C26CF">
        <w:rPr>
          <w:rFonts w:ascii="Times New Roman" w:hAnsi="Times New Roman" w:cs="Times New Roman"/>
          <w:noProof/>
          <w:sz w:val="24"/>
          <w:szCs w:val="24"/>
        </w:rPr>
        <w:t>(3), 234–240.</w:t>
      </w:r>
    </w:p>
    <w:p w14:paraId="548372E2"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Samryn, L. M. (2013). </w:t>
      </w:r>
      <w:r w:rsidRPr="005C26CF">
        <w:rPr>
          <w:rFonts w:ascii="Times New Roman" w:hAnsi="Times New Roman" w:cs="Times New Roman"/>
          <w:i/>
          <w:iCs/>
          <w:noProof/>
          <w:sz w:val="24"/>
          <w:szCs w:val="24"/>
        </w:rPr>
        <w:t>Akuntansi Manajemen: Informasi biaya untuk mengendalikan aktivitas operasi dan investasi</w:t>
      </w:r>
      <w:r w:rsidRPr="005C26CF">
        <w:rPr>
          <w:rFonts w:ascii="Times New Roman" w:hAnsi="Times New Roman" w:cs="Times New Roman"/>
          <w:noProof/>
          <w:sz w:val="24"/>
          <w:szCs w:val="24"/>
        </w:rPr>
        <w:t>.</w:t>
      </w:r>
    </w:p>
    <w:p w14:paraId="51DB3CC4"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Senjaya, K., &amp; Budiartha, I. K. (2022). Opini Audit Sebelumnya, Financial Distress, Auditor Switching dan Opini Audit Going Concern. </w:t>
      </w:r>
      <w:r w:rsidRPr="005C26CF">
        <w:rPr>
          <w:rFonts w:ascii="Times New Roman" w:hAnsi="Times New Roman" w:cs="Times New Roman"/>
          <w:i/>
          <w:iCs/>
          <w:noProof/>
          <w:sz w:val="24"/>
          <w:szCs w:val="24"/>
        </w:rPr>
        <w:t>E-Jurnal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32</w:t>
      </w:r>
      <w:r w:rsidRPr="005C26CF">
        <w:rPr>
          <w:rFonts w:ascii="Times New Roman" w:hAnsi="Times New Roman" w:cs="Times New Roman"/>
          <w:noProof/>
          <w:sz w:val="24"/>
          <w:szCs w:val="24"/>
        </w:rPr>
        <w:t>(1), 3511. https://doi.org/10.24843/eja.2022.v32.i01.p14</w:t>
      </w:r>
    </w:p>
    <w:p w14:paraId="62B6FDEC"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Setiadamayanthi, N. L. A., &amp; Wirakusuma, M. G. (2016). Pengaruh Auditor Switching dan Financial Distress Pada Opini Audit Going Concern pada Perusahaan yang Terdaftar di BEI Tahun 2014. </w:t>
      </w:r>
      <w:r w:rsidRPr="005C26CF">
        <w:rPr>
          <w:rFonts w:ascii="Times New Roman" w:hAnsi="Times New Roman" w:cs="Times New Roman"/>
          <w:i/>
          <w:iCs/>
          <w:noProof/>
          <w:sz w:val="24"/>
          <w:szCs w:val="24"/>
        </w:rPr>
        <w:t>E-Jurnal Akuntansi Universitas Udayana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15</w:t>
      </w:r>
      <w:r w:rsidRPr="005C26CF">
        <w:rPr>
          <w:rFonts w:ascii="Times New Roman" w:hAnsi="Times New Roman" w:cs="Times New Roman"/>
          <w:noProof/>
          <w:sz w:val="24"/>
          <w:szCs w:val="24"/>
        </w:rPr>
        <w:t>(3), 1654–1681.</w:t>
      </w:r>
    </w:p>
    <w:p w14:paraId="213834F5"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Setiawan, F., &amp; Suryono, B. (2015). Pengaruh pertumbuhan perusahaan, profitabilitas, likuiditas, dan leverage terhadap opini audit going concern. </w:t>
      </w:r>
      <w:r w:rsidRPr="005C26CF">
        <w:rPr>
          <w:rFonts w:ascii="Times New Roman" w:hAnsi="Times New Roman" w:cs="Times New Roman"/>
          <w:i/>
          <w:iCs/>
          <w:noProof/>
          <w:sz w:val="24"/>
          <w:szCs w:val="24"/>
        </w:rPr>
        <w:t>Jurnal Ilmu Dan Riset Akuntansi (JIRA)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4</w:t>
      </w:r>
      <w:r w:rsidRPr="005C26CF">
        <w:rPr>
          <w:rFonts w:ascii="Times New Roman" w:hAnsi="Times New Roman" w:cs="Times New Roman"/>
          <w:noProof/>
          <w:sz w:val="24"/>
          <w:szCs w:val="24"/>
        </w:rPr>
        <w:t>(3).</w:t>
      </w:r>
    </w:p>
    <w:p w14:paraId="045455E7"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Setyarno, E. B., &amp; Januarti, I. (2006). Pengaruh kualitas audit, kondisi keuangan perusahaan, opini audit tahun sebelumnya, pertumbuhan perusahaan terhadap opini audit going concern. </w:t>
      </w:r>
      <w:r w:rsidRPr="005C26CF">
        <w:rPr>
          <w:rFonts w:ascii="Times New Roman" w:hAnsi="Times New Roman" w:cs="Times New Roman"/>
          <w:i/>
          <w:iCs/>
          <w:noProof/>
          <w:sz w:val="24"/>
          <w:szCs w:val="24"/>
        </w:rPr>
        <w:t>Simposium Nasional Akuntansi IX</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125</w:t>
      </w:r>
      <w:r w:rsidRPr="005C26CF">
        <w:rPr>
          <w:rFonts w:ascii="Times New Roman" w:hAnsi="Times New Roman" w:cs="Times New Roman"/>
          <w:noProof/>
          <w:sz w:val="24"/>
          <w:szCs w:val="24"/>
        </w:rPr>
        <w:t>.</w:t>
      </w:r>
    </w:p>
    <w:p w14:paraId="3270298E"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Srimindarti, C. (2021). Pengaruh Ukuran Kap, Pertumbuhan Perusahaan Dan Opini Audit Tahun Sebelumnya Terhadap Opini Audit Going Concern Dengan Kondisi Keuangan Sebagai Variabel Moderasi (Studi Empiris Pada Perusahaan Manufaktur Yang Terdaftar Di Bursa Efek Indonesia (Bei) Tahun. </w:t>
      </w:r>
      <w:r w:rsidRPr="005C26CF">
        <w:rPr>
          <w:rFonts w:ascii="Times New Roman" w:hAnsi="Times New Roman" w:cs="Times New Roman"/>
          <w:i/>
          <w:iCs/>
          <w:noProof/>
          <w:sz w:val="24"/>
          <w:szCs w:val="24"/>
        </w:rPr>
        <w:t>Jurnal Ilmiah Manajemen, Ekonomi, &amp; Akuntansi (MEA)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5</w:t>
      </w:r>
      <w:r w:rsidRPr="005C26CF">
        <w:rPr>
          <w:rFonts w:ascii="Times New Roman" w:hAnsi="Times New Roman" w:cs="Times New Roman"/>
          <w:noProof/>
          <w:sz w:val="24"/>
          <w:szCs w:val="24"/>
        </w:rPr>
        <w:t>(2), 1598–1612.</w:t>
      </w:r>
    </w:p>
    <w:p w14:paraId="13F6EDA0"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Sugiyono, D. (2013). </w:t>
      </w:r>
      <w:r w:rsidRPr="005C26CF">
        <w:rPr>
          <w:rFonts w:ascii="Times New Roman" w:hAnsi="Times New Roman" w:cs="Times New Roman"/>
          <w:i/>
          <w:iCs/>
          <w:noProof/>
          <w:sz w:val="24"/>
          <w:szCs w:val="24"/>
        </w:rPr>
        <w:t>Metode penelitian pendidikan pendekatan kuantitatif, kualitatif dan R&amp;D</w:t>
      </w:r>
      <w:r w:rsidRPr="005C26CF">
        <w:rPr>
          <w:rFonts w:ascii="Times New Roman" w:hAnsi="Times New Roman" w:cs="Times New Roman"/>
          <w:noProof/>
          <w:sz w:val="24"/>
          <w:szCs w:val="24"/>
        </w:rPr>
        <w:t>.</w:t>
      </w:r>
    </w:p>
    <w:p w14:paraId="0306E015"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Suharsono, R. S. (2018). Pengaruh Kualitas Audit, Debt Default Dan Pertumbuhan Perusahaan Terhadap Penerimaan Opini Audit Going Concern. </w:t>
      </w:r>
      <w:r w:rsidRPr="005C26CF">
        <w:rPr>
          <w:rFonts w:ascii="Times New Roman" w:hAnsi="Times New Roman" w:cs="Times New Roman"/>
          <w:i/>
          <w:iCs/>
          <w:noProof/>
          <w:sz w:val="24"/>
          <w:szCs w:val="24"/>
        </w:rPr>
        <w:t>ASSETS: Jurnal Ilmiah Ilmu Akuntansi, Keuangan Dan Pajak</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2</w:t>
      </w:r>
      <w:r w:rsidRPr="005C26CF">
        <w:rPr>
          <w:rFonts w:ascii="Times New Roman" w:hAnsi="Times New Roman" w:cs="Times New Roman"/>
          <w:noProof/>
          <w:sz w:val="24"/>
          <w:szCs w:val="24"/>
        </w:rPr>
        <w:t>(1), 35–47.</w:t>
      </w:r>
    </w:p>
    <w:p w14:paraId="39CF27A6"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Supriyono, R. A. (2018). </w:t>
      </w:r>
      <w:r w:rsidRPr="005C26CF">
        <w:rPr>
          <w:rFonts w:ascii="Times New Roman" w:hAnsi="Times New Roman" w:cs="Times New Roman"/>
          <w:i/>
          <w:iCs/>
          <w:noProof/>
          <w:sz w:val="24"/>
          <w:szCs w:val="24"/>
        </w:rPr>
        <w:t>Akuntansi keperilakuan</w:t>
      </w:r>
      <w:r w:rsidRPr="005C26CF">
        <w:rPr>
          <w:rFonts w:ascii="Times New Roman" w:hAnsi="Times New Roman" w:cs="Times New Roman"/>
          <w:noProof/>
          <w:sz w:val="24"/>
          <w:szCs w:val="24"/>
        </w:rPr>
        <w:t>. Ugm Press.</w:t>
      </w:r>
    </w:p>
    <w:p w14:paraId="5B30D09D"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Suryani, E. (2018). Pengaruh Likuiditas, Leverage, Dan Pertumbuhan Perusahaan Terhadap Pemberian Opini Audit Going Concern (studi Empiris Pada Perusahaan Property Dan Real Estate Yang Terdaftar Di Bursa Efek Indonesia Pada Periode Tahun 2012-2016). </w:t>
      </w:r>
      <w:r w:rsidRPr="005C26CF">
        <w:rPr>
          <w:rFonts w:ascii="Times New Roman" w:hAnsi="Times New Roman" w:cs="Times New Roman"/>
          <w:i/>
          <w:iCs/>
          <w:noProof/>
          <w:sz w:val="24"/>
          <w:szCs w:val="24"/>
        </w:rPr>
        <w:t>EProceedings of Management</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5</w:t>
      </w:r>
      <w:r w:rsidRPr="005C26CF">
        <w:rPr>
          <w:rFonts w:ascii="Times New Roman" w:hAnsi="Times New Roman" w:cs="Times New Roman"/>
          <w:noProof/>
          <w:sz w:val="24"/>
          <w:szCs w:val="24"/>
        </w:rPr>
        <w:t>(2).</w:t>
      </w:r>
    </w:p>
    <w:p w14:paraId="7AC0088C"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Suryani, E. (2020). Pengaruh Audit Capacity Stress, Spesialisasi Industri Auditor Dan Komite Audit Terhadap Kualitas Audit (Studi Empiris Pada Perusahaan Subsektor Makanan Dan Minuman Yang Terdaftar Di Bursa Efek Indonesia Periode 2014-2018). </w:t>
      </w:r>
      <w:r w:rsidRPr="005C26CF">
        <w:rPr>
          <w:rFonts w:ascii="Times New Roman" w:hAnsi="Times New Roman" w:cs="Times New Roman"/>
          <w:i/>
          <w:iCs/>
          <w:noProof/>
          <w:sz w:val="24"/>
          <w:szCs w:val="24"/>
        </w:rPr>
        <w:t>EProceedings of Management</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7</w:t>
      </w:r>
      <w:r w:rsidRPr="005C26CF">
        <w:rPr>
          <w:rFonts w:ascii="Times New Roman" w:hAnsi="Times New Roman" w:cs="Times New Roman"/>
          <w:noProof/>
          <w:sz w:val="24"/>
          <w:szCs w:val="24"/>
        </w:rPr>
        <w:t>(2).</w:t>
      </w:r>
    </w:p>
    <w:p w14:paraId="3414EA2E"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Tuanakotta Theodorus, M. (2011). Berpikir kritis dalam Auditing. </w:t>
      </w:r>
      <w:r w:rsidRPr="005C26CF">
        <w:rPr>
          <w:rFonts w:ascii="Times New Roman" w:hAnsi="Times New Roman" w:cs="Times New Roman"/>
          <w:i/>
          <w:iCs/>
          <w:noProof/>
          <w:sz w:val="24"/>
          <w:szCs w:val="24"/>
        </w:rPr>
        <w:t>Penerbit Salemba Empat. Jakarta</w:t>
      </w:r>
      <w:r w:rsidRPr="005C26CF">
        <w:rPr>
          <w:rFonts w:ascii="Times New Roman" w:hAnsi="Times New Roman" w:cs="Times New Roman"/>
          <w:noProof/>
          <w:sz w:val="24"/>
          <w:szCs w:val="24"/>
        </w:rPr>
        <w:t>.</w:t>
      </w:r>
    </w:p>
    <w:p w14:paraId="2168C25A"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Usman, H., Mustafa, S. W., &amp; Baruk, P. (2019). </w:t>
      </w:r>
      <w:r w:rsidRPr="005C26CF">
        <w:rPr>
          <w:rFonts w:ascii="Times New Roman" w:hAnsi="Times New Roman" w:cs="Times New Roman"/>
          <w:i/>
          <w:iCs/>
          <w:noProof/>
          <w:sz w:val="24"/>
          <w:szCs w:val="24"/>
        </w:rPr>
        <w:t>Pengaruh ukuran perusahaan, profitabilitas, likuiditas dan pertumbuhan perusahaan terhadap opini audit going concern perusahaan manufaktur yang terdaftar Bursa Efek Indonesia tahun 2014-2018</w:t>
      </w:r>
      <w:r w:rsidRPr="005C26CF">
        <w:rPr>
          <w:rFonts w:ascii="Times New Roman" w:hAnsi="Times New Roman" w:cs="Times New Roman"/>
          <w:noProof/>
          <w:sz w:val="24"/>
          <w:szCs w:val="24"/>
        </w:rPr>
        <w:t>.</w:t>
      </w:r>
    </w:p>
    <w:p w14:paraId="4AF4AFCA"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Verdiana, K. A., &amp; Utama, I. M. K. (2013). Pengaruh reputasi auditor, disclosure, audit client tenure pada kemungkinan pengungkapan opini audit going concern. </w:t>
      </w:r>
      <w:r w:rsidRPr="005C26CF">
        <w:rPr>
          <w:rFonts w:ascii="Times New Roman" w:hAnsi="Times New Roman" w:cs="Times New Roman"/>
          <w:i/>
          <w:iCs/>
          <w:noProof/>
          <w:sz w:val="24"/>
          <w:szCs w:val="24"/>
        </w:rPr>
        <w:t>E-Jurnal Akuntansi Universitas Udayana</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5</w:t>
      </w:r>
      <w:r w:rsidRPr="005C26CF">
        <w:rPr>
          <w:rFonts w:ascii="Times New Roman" w:hAnsi="Times New Roman" w:cs="Times New Roman"/>
          <w:noProof/>
          <w:sz w:val="24"/>
          <w:szCs w:val="24"/>
        </w:rPr>
        <w:t>(3), 530–543.</w:t>
      </w:r>
    </w:p>
    <w:p w14:paraId="2808C1F5"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White, G., Lee, A., &amp; Tower, G. (2007). Drivers of voluntary intellectual capital disclosure in listed biotechnology companies. </w:t>
      </w:r>
      <w:r w:rsidRPr="005C26CF">
        <w:rPr>
          <w:rFonts w:ascii="Times New Roman" w:hAnsi="Times New Roman" w:cs="Times New Roman"/>
          <w:i/>
          <w:iCs/>
          <w:noProof/>
          <w:sz w:val="24"/>
          <w:szCs w:val="24"/>
        </w:rPr>
        <w:t>Journal of Intellectual Capital</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8</w:t>
      </w:r>
      <w:r w:rsidRPr="005C26CF">
        <w:rPr>
          <w:rFonts w:ascii="Times New Roman" w:hAnsi="Times New Roman" w:cs="Times New Roman"/>
          <w:noProof/>
          <w:sz w:val="24"/>
          <w:szCs w:val="24"/>
        </w:rPr>
        <w:t>(3), 517–537.</w:t>
      </w:r>
    </w:p>
    <w:p w14:paraId="7305AB38"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Widyanti, D., Widiasmara, A., &amp; Novitasari, M. (2023). Pengaruh Audit Tenure, Opini Audit, Audit Fee, dan Audit Delay Terhadap Auditor Switching Pada Perusahaan Consumer Non-Cyclicals yang Terdaftar di Bursa Efek Indonesia Tahun 2017-2021. </w:t>
      </w:r>
      <w:r w:rsidRPr="005C26CF">
        <w:rPr>
          <w:rFonts w:ascii="Times New Roman" w:hAnsi="Times New Roman" w:cs="Times New Roman"/>
          <w:i/>
          <w:iCs/>
          <w:noProof/>
          <w:sz w:val="24"/>
          <w:szCs w:val="24"/>
        </w:rPr>
        <w:t>SIMBA: Seminar Inovasi Manajemen, Bisnis, Dan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5</w:t>
      </w:r>
      <w:r w:rsidRPr="005C26CF">
        <w:rPr>
          <w:rFonts w:ascii="Times New Roman" w:hAnsi="Times New Roman" w:cs="Times New Roman"/>
          <w:noProof/>
          <w:sz w:val="24"/>
          <w:szCs w:val="24"/>
        </w:rPr>
        <w:t>.</w:t>
      </w:r>
    </w:p>
    <w:p w14:paraId="3B866DAB"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26CF">
        <w:rPr>
          <w:rFonts w:ascii="Times New Roman" w:hAnsi="Times New Roman" w:cs="Times New Roman"/>
          <w:noProof/>
          <w:sz w:val="24"/>
          <w:szCs w:val="24"/>
        </w:rPr>
        <w:t xml:space="preserve">Wijoyo, A., &amp; Simbolon, R. F. (2022). Pengaruh Auditor Switching dan Financial Distress pada Opini Audit Going Concern pada Perusahaan Sektor Energi pada Tahun 2017-2021. </w:t>
      </w:r>
      <w:r w:rsidRPr="005C26CF">
        <w:rPr>
          <w:rFonts w:ascii="Times New Roman" w:hAnsi="Times New Roman" w:cs="Times New Roman"/>
          <w:i/>
          <w:iCs/>
          <w:noProof/>
          <w:sz w:val="24"/>
          <w:szCs w:val="24"/>
        </w:rPr>
        <w:t>Jurnal Pendidikan Dan Konseling (JPDK)</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4</w:t>
      </w:r>
      <w:r w:rsidRPr="005C26CF">
        <w:rPr>
          <w:rFonts w:ascii="Times New Roman" w:hAnsi="Times New Roman" w:cs="Times New Roman"/>
          <w:noProof/>
          <w:sz w:val="24"/>
          <w:szCs w:val="24"/>
        </w:rPr>
        <w:t>(5), 5468–5476.</w:t>
      </w:r>
    </w:p>
    <w:p w14:paraId="2F2A095F" w14:textId="77777777" w:rsidR="005C26CF" w:rsidRP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noProof/>
          <w:sz w:val="24"/>
        </w:rPr>
      </w:pPr>
      <w:r w:rsidRPr="005C26CF">
        <w:rPr>
          <w:rFonts w:ascii="Times New Roman" w:hAnsi="Times New Roman" w:cs="Times New Roman"/>
          <w:noProof/>
          <w:sz w:val="24"/>
          <w:szCs w:val="24"/>
        </w:rPr>
        <w:t xml:space="preserve">Zikra, F., &amp; Syofyan, E. (2019). Pengaruh financial distress, pertumbuhan perusahaan klien, ukuran KAP, dan audit delay terhadap auditor switching. </w:t>
      </w:r>
      <w:r w:rsidRPr="005C26CF">
        <w:rPr>
          <w:rFonts w:ascii="Times New Roman" w:hAnsi="Times New Roman" w:cs="Times New Roman"/>
          <w:i/>
          <w:iCs/>
          <w:noProof/>
          <w:sz w:val="24"/>
          <w:szCs w:val="24"/>
        </w:rPr>
        <w:t>Jurnal Eksplorasi Akuntansi</w:t>
      </w:r>
      <w:r w:rsidRPr="005C26CF">
        <w:rPr>
          <w:rFonts w:ascii="Times New Roman" w:hAnsi="Times New Roman" w:cs="Times New Roman"/>
          <w:noProof/>
          <w:sz w:val="24"/>
          <w:szCs w:val="24"/>
        </w:rPr>
        <w:t xml:space="preserve">, </w:t>
      </w:r>
      <w:r w:rsidRPr="005C26CF">
        <w:rPr>
          <w:rFonts w:ascii="Times New Roman" w:hAnsi="Times New Roman" w:cs="Times New Roman"/>
          <w:i/>
          <w:iCs/>
          <w:noProof/>
          <w:sz w:val="24"/>
          <w:szCs w:val="24"/>
        </w:rPr>
        <w:t>1</w:t>
      </w:r>
      <w:r w:rsidRPr="005C26CF">
        <w:rPr>
          <w:rFonts w:ascii="Times New Roman" w:hAnsi="Times New Roman" w:cs="Times New Roman"/>
          <w:noProof/>
          <w:sz w:val="24"/>
          <w:szCs w:val="24"/>
        </w:rPr>
        <w:t>(3), 1556–1568.</w:t>
      </w:r>
    </w:p>
    <w:p w14:paraId="2747265C" w14:textId="2369B087" w:rsidR="005C26CF" w:rsidRDefault="005C26CF" w:rsidP="005C26CF">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14:paraId="46F84071" w14:textId="77777777" w:rsidR="00F43FF6" w:rsidRDefault="00F43FF6" w:rsidP="00FB5E3A">
      <w:pPr>
        <w:pStyle w:val="Heading1"/>
        <w:jc w:val="center"/>
        <w:rPr>
          <w:rFonts w:ascii="Times New Roman" w:hAnsi="Times New Roman" w:cs="Times New Roman"/>
          <w:b/>
          <w:bCs/>
          <w:color w:val="000000" w:themeColor="text1"/>
          <w:sz w:val="144"/>
          <w:szCs w:val="144"/>
          <w:lang w:val="id-ID"/>
        </w:rPr>
        <w:sectPr w:rsidR="00F43FF6" w:rsidSect="00B30E21">
          <w:footerReference w:type="default" r:id="rId8"/>
          <w:headerReference w:type="first" r:id="rId9"/>
          <w:pgSz w:w="11906" w:h="16838" w:code="9"/>
          <w:pgMar w:top="2268" w:right="1701" w:bottom="1701" w:left="2268" w:header="709" w:footer="709" w:gutter="0"/>
          <w:cols w:space="708"/>
          <w:titlePg/>
          <w:docGrid w:linePitch="360"/>
        </w:sectPr>
      </w:pPr>
      <w:bookmarkStart w:id="1" w:name="_Toc170808234"/>
      <w:bookmarkStart w:id="2" w:name="_Toc172103588"/>
    </w:p>
    <w:p w14:paraId="55940ED8" w14:textId="77777777" w:rsidR="00F43FF6" w:rsidRDefault="00F43FF6" w:rsidP="00FB5E3A">
      <w:pPr>
        <w:pStyle w:val="Heading1"/>
        <w:jc w:val="center"/>
        <w:rPr>
          <w:rFonts w:ascii="Times New Roman" w:hAnsi="Times New Roman" w:cs="Times New Roman"/>
          <w:b/>
          <w:bCs/>
          <w:color w:val="000000" w:themeColor="text1"/>
          <w:sz w:val="144"/>
          <w:szCs w:val="144"/>
          <w:lang w:val="id-ID"/>
        </w:rPr>
      </w:pPr>
    </w:p>
    <w:p w14:paraId="2D0A20E1" w14:textId="77777777" w:rsidR="00F43FF6" w:rsidRDefault="00F43FF6" w:rsidP="00F43FF6">
      <w:pPr>
        <w:rPr>
          <w:lang w:val="id-ID"/>
        </w:rPr>
      </w:pPr>
    </w:p>
    <w:p w14:paraId="1A9FB285" w14:textId="77777777" w:rsidR="00F43FF6" w:rsidRDefault="00F43FF6" w:rsidP="00F43FF6">
      <w:pPr>
        <w:rPr>
          <w:lang w:val="id-ID"/>
        </w:rPr>
      </w:pPr>
    </w:p>
    <w:p w14:paraId="69F1F9D4" w14:textId="77777777" w:rsidR="00F43FF6" w:rsidRDefault="00F43FF6" w:rsidP="00F43FF6">
      <w:pPr>
        <w:rPr>
          <w:lang w:val="id-ID"/>
        </w:rPr>
      </w:pPr>
    </w:p>
    <w:p w14:paraId="3982525D" w14:textId="77777777" w:rsidR="00F43FF6" w:rsidRDefault="00F43FF6" w:rsidP="00F43FF6">
      <w:pPr>
        <w:rPr>
          <w:lang w:val="id-ID"/>
        </w:rPr>
      </w:pPr>
    </w:p>
    <w:p w14:paraId="772B2579" w14:textId="77777777" w:rsidR="00F43FF6" w:rsidRPr="00F43FF6" w:rsidRDefault="00F43FF6" w:rsidP="00F43FF6">
      <w:pPr>
        <w:rPr>
          <w:lang w:val="id-ID"/>
        </w:rPr>
      </w:pPr>
    </w:p>
    <w:p w14:paraId="64F343FD" w14:textId="62C483C1" w:rsidR="00B30E21" w:rsidRPr="00FB5E3A" w:rsidRDefault="00B30E21" w:rsidP="00FB5E3A">
      <w:pPr>
        <w:pStyle w:val="Heading1"/>
        <w:jc w:val="center"/>
        <w:rPr>
          <w:rFonts w:ascii="Times New Roman" w:hAnsi="Times New Roman" w:cs="Times New Roman"/>
          <w:b/>
          <w:bCs/>
          <w:color w:val="000000" w:themeColor="text1"/>
          <w:sz w:val="144"/>
          <w:szCs w:val="144"/>
          <w:lang w:val="id-ID"/>
        </w:rPr>
        <w:sectPr w:rsidR="00B30E21" w:rsidRPr="00FB5E3A" w:rsidSect="00B30E21">
          <w:headerReference w:type="first" r:id="rId10"/>
          <w:pgSz w:w="11906" w:h="16838" w:code="9"/>
          <w:pgMar w:top="2268" w:right="1701" w:bottom="1701" w:left="2268" w:header="709" w:footer="709" w:gutter="0"/>
          <w:cols w:space="708"/>
          <w:titlePg/>
          <w:docGrid w:linePitch="360"/>
        </w:sectPr>
      </w:pPr>
      <w:r w:rsidRPr="00FB5E3A">
        <w:rPr>
          <w:rFonts w:ascii="Times New Roman" w:hAnsi="Times New Roman" w:cs="Times New Roman"/>
          <w:b/>
          <w:bCs/>
          <w:color w:val="000000" w:themeColor="text1"/>
          <w:sz w:val="144"/>
          <w:szCs w:val="144"/>
          <w:lang w:val="id-ID"/>
        </w:rPr>
        <w:t>LAMPIR</w:t>
      </w:r>
      <w:r w:rsidR="003353D5" w:rsidRPr="00FB5E3A">
        <w:rPr>
          <w:rFonts w:ascii="Times New Roman" w:hAnsi="Times New Roman" w:cs="Times New Roman"/>
          <w:b/>
          <w:bCs/>
          <w:color w:val="000000" w:themeColor="text1"/>
          <w:sz w:val="144"/>
          <w:szCs w:val="144"/>
          <w:lang w:val="id-ID"/>
        </w:rPr>
        <w:t>A</w:t>
      </w:r>
      <w:bookmarkEnd w:id="1"/>
      <w:bookmarkEnd w:id="2"/>
      <w:r w:rsidR="00E97BA6">
        <w:rPr>
          <w:rFonts w:ascii="Times New Roman" w:hAnsi="Times New Roman" w:cs="Times New Roman"/>
          <w:b/>
          <w:bCs/>
          <w:color w:val="000000" w:themeColor="text1"/>
          <w:sz w:val="144"/>
          <w:szCs w:val="144"/>
          <w:lang w:val="id-ID"/>
        </w:rPr>
        <w:t>N</w:t>
      </w:r>
    </w:p>
    <w:p w14:paraId="03F3CD63" w14:textId="1FA48E5F" w:rsidR="00F41333" w:rsidRPr="00274106" w:rsidRDefault="006328AC" w:rsidP="00AF383D">
      <w:pPr>
        <w:rPr>
          <w:rFonts w:ascii="Times New Roman" w:hAnsi="Times New Roman" w:cs="Times New Roman"/>
          <w:b/>
          <w:bCs/>
          <w:sz w:val="24"/>
          <w:szCs w:val="24"/>
          <w:lang w:val="id-ID"/>
        </w:rPr>
        <w:sectPr w:rsidR="00F41333" w:rsidRPr="00274106" w:rsidSect="00CA0C43">
          <w:headerReference w:type="first" r:id="rId11"/>
          <w:footerReference w:type="first" r:id="rId12"/>
          <w:pgSz w:w="11906" w:h="16838" w:code="9"/>
          <w:pgMar w:top="2268" w:right="1701" w:bottom="1701" w:left="2410" w:header="709" w:footer="709" w:gutter="0"/>
          <w:cols w:space="708"/>
          <w:titlePg/>
          <w:docGrid w:linePitch="360"/>
        </w:sectPr>
      </w:pPr>
      <w:r>
        <w:rPr>
          <w:noProof/>
        </w:rPr>
        <w:drawing>
          <wp:inline distT="0" distB="0" distL="0" distR="0" wp14:anchorId="7D1BE4D5" wp14:editId="6DF652A7">
            <wp:extent cx="4737100" cy="8171815"/>
            <wp:effectExtent l="0" t="0" r="6350" b="635"/>
            <wp:docPr id="2207620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7100" cy="8171815"/>
                    </a:xfrm>
                    <a:prstGeom prst="rect">
                      <a:avLst/>
                    </a:prstGeom>
                    <a:noFill/>
                    <a:ln>
                      <a:noFill/>
                    </a:ln>
                  </pic:spPr>
                </pic:pic>
              </a:graphicData>
            </a:graphic>
          </wp:inline>
        </w:drawing>
      </w:r>
      <w:r>
        <w:rPr>
          <w:noProof/>
        </w:rPr>
        <w:drawing>
          <wp:inline distT="0" distB="0" distL="0" distR="0" wp14:anchorId="5719598C" wp14:editId="2F65C2FE">
            <wp:extent cx="4941570" cy="8171815"/>
            <wp:effectExtent l="0" t="0" r="0" b="635"/>
            <wp:docPr id="279749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1570" cy="8171815"/>
                    </a:xfrm>
                    <a:prstGeom prst="rect">
                      <a:avLst/>
                    </a:prstGeom>
                    <a:noFill/>
                    <a:ln>
                      <a:noFill/>
                    </a:ln>
                  </pic:spPr>
                </pic:pic>
              </a:graphicData>
            </a:graphic>
          </wp:inline>
        </w:drawing>
      </w:r>
      <w:r>
        <w:rPr>
          <w:noProof/>
        </w:rPr>
        <w:drawing>
          <wp:inline distT="0" distB="0" distL="0" distR="0" wp14:anchorId="00A46D56" wp14:editId="42541992">
            <wp:extent cx="4850130" cy="8171815"/>
            <wp:effectExtent l="0" t="0" r="7620" b="635"/>
            <wp:docPr id="14761657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130" cy="8171815"/>
                    </a:xfrm>
                    <a:prstGeom prst="rect">
                      <a:avLst/>
                    </a:prstGeom>
                    <a:noFill/>
                    <a:ln>
                      <a:noFill/>
                    </a:ln>
                  </pic:spPr>
                </pic:pic>
              </a:graphicData>
            </a:graphic>
          </wp:inline>
        </w:drawing>
      </w:r>
      <w:r>
        <w:rPr>
          <w:noProof/>
        </w:rPr>
        <w:drawing>
          <wp:inline distT="0" distB="0" distL="0" distR="0" wp14:anchorId="46B8D6F5" wp14:editId="73133138">
            <wp:extent cx="4949825" cy="7592060"/>
            <wp:effectExtent l="0" t="0" r="3175" b="8890"/>
            <wp:docPr id="9249902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9825" cy="7592060"/>
                    </a:xfrm>
                    <a:prstGeom prst="rect">
                      <a:avLst/>
                    </a:prstGeom>
                    <a:noFill/>
                    <a:ln>
                      <a:noFill/>
                    </a:ln>
                  </pic:spPr>
                </pic:pic>
              </a:graphicData>
            </a:graphic>
          </wp:inline>
        </w:drawing>
      </w:r>
      <w:r>
        <w:rPr>
          <w:noProof/>
        </w:rPr>
        <w:drawing>
          <wp:inline distT="0" distB="0" distL="0" distR="0" wp14:anchorId="0B86E250" wp14:editId="4F11A5D1">
            <wp:extent cx="4949825" cy="7485380"/>
            <wp:effectExtent l="0" t="0" r="3175" b="1270"/>
            <wp:docPr id="9636366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9825" cy="7485380"/>
                    </a:xfrm>
                    <a:prstGeom prst="rect">
                      <a:avLst/>
                    </a:prstGeom>
                    <a:noFill/>
                    <a:ln>
                      <a:noFill/>
                    </a:ln>
                  </pic:spPr>
                </pic:pic>
              </a:graphicData>
            </a:graphic>
          </wp:inline>
        </w:drawing>
      </w:r>
      <w:r>
        <w:rPr>
          <w:noProof/>
        </w:rPr>
        <w:drawing>
          <wp:inline distT="0" distB="0" distL="0" distR="0" wp14:anchorId="12C0D3D7" wp14:editId="39FD8CDC">
            <wp:extent cx="4949825" cy="8133080"/>
            <wp:effectExtent l="0" t="0" r="3175" b="1270"/>
            <wp:docPr id="6456203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825" cy="8133080"/>
                    </a:xfrm>
                    <a:prstGeom prst="rect">
                      <a:avLst/>
                    </a:prstGeom>
                    <a:noFill/>
                    <a:ln>
                      <a:noFill/>
                    </a:ln>
                  </pic:spPr>
                </pic:pic>
              </a:graphicData>
            </a:graphic>
          </wp:inline>
        </w:drawing>
      </w:r>
      <w:r>
        <w:rPr>
          <w:noProof/>
        </w:rPr>
        <w:drawing>
          <wp:inline distT="0" distB="0" distL="0" distR="0" wp14:anchorId="1B7CBC3C" wp14:editId="46C97796">
            <wp:extent cx="4904105" cy="8171815"/>
            <wp:effectExtent l="0" t="0" r="0" b="635"/>
            <wp:docPr id="781716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4105" cy="8171815"/>
                    </a:xfrm>
                    <a:prstGeom prst="rect">
                      <a:avLst/>
                    </a:prstGeom>
                    <a:noFill/>
                    <a:ln>
                      <a:noFill/>
                    </a:ln>
                  </pic:spPr>
                </pic:pic>
              </a:graphicData>
            </a:graphic>
          </wp:inline>
        </w:drawing>
      </w:r>
      <w:r>
        <w:rPr>
          <w:noProof/>
        </w:rPr>
        <w:drawing>
          <wp:inline distT="0" distB="0" distL="0" distR="0" wp14:anchorId="1E4A764D" wp14:editId="320361BE">
            <wp:extent cx="4949825" cy="7359015"/>
            <wp:effectExtent l="0" t="0" r="3175" b="0"/>
            <wp:docPr id="11392015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9825" cy="7359015"/>
                    </a:xfrm>
                    <a:prstGeom prst="rect">
                      <a:avLst/>
                    </a:prstGeom>
                    <a:noFill/>
                    <a:ln>
                      <a:noFill/>
                    </a:ln>
                  </pic:spPr>
                </pic:pic>
              </a:graphicData>
            </a:graphic>
          </wp:inline>
        </w:drawing>
      </w:r>
      <w:r>
        <w:rPr>
          <w:noProof/>
        </w:rPr>
        <w:drawing>
          <wp:inline distT="0" distB="0" distL="0" distR="0" wp14:anchorId="5C9DB018" wp14:editId="78E6316F">
            <wp:extent cx="4949825" cy="7158355"/>
            <wp:effectExtent l="0" t="0" r="3175" b="4445"/>
            <wp:docPr id="20910311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9825" cy="7158355"/>
                    </a:xfrm>
                    <a:prstGeom prst="rect">
                      <a:avLst/>
                    </a:prstGeom>
                    <a:noFill/>
                    <a:ln>
                      <a:noFill/>
                    </a:ln>
                  </pic:spPr>
                </pic:pic>
              </a:graphicData>
            </a:graphic>
          </wp:inline>
        </w:drawing>
      </w:r>
      <w:r>
        <w:rPr>
          <w:noProof/>
        </w:rPr>
        <w:drawing>
          <wp:inline distT="0" distB="0" distL="0" distR="0" wp14:anchorId="75A8EFFF" wp14:editId="767B728B">
            <wp:extent cx="4949825" cy="7924165"/>
            <wp:effectExtent l="0" t="0" r="3175" b="635"/>
            <wp:docPr id="21355685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9825" cy="7924165"/>
                    </a:xfrm>
                    <a:prstGeom prst="rect">
                      <a:avLst/>
                    </a:prstGeom>
                    <a:noFill/>
                    <a:ln>
                      <a:noFill/>
                    </a:ln>
                  </pic:spPr>
                </pic:pic>
              </a:graphicData>
            </a:graphic>
          </wp:inline>
        </w:drawing>
      </w:r>
      <w:r>
        <w:rPr>
          <w:noProof/>
        </w:rPr>
        <w:drawing>
          <wp:inline distT="0" distB="0" distL="0" distR="0" wp14:anchorId="2F4FA58D" wp14:editId="099D66BF">
            <wp:extent cx="4876165" cy="8171815"/>
            <wp:effectExtent l="0" t="0" r="635" b="635"/>
            <wp:docPr id="4281826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165" cy="8171815"/>
                    </a:xfrm>
                    <a:prstGeom prst="rect">
                      <a:avLst/>
                    </a:prstGeom>
                    <a:noFill/>
                    <a:ln>
                      <a:noFill/>
                    </a:ln>
                  </pic:spPr>
                </pic:pic>
              </a:graphicData>
            </a:graphic>
          </wp:inline>
        </w:drawing>
      </w:r>
      <w:r>
        <w:rPr>
          <w:noProof/>
        </w:rPr>
        <w:drawing>
          <wp:inline distT="0" distB="0" distL="0" distR="0" wp14:anchorId="157FC63D" wp14:editId="73331444">
            <wp:extent cx="4949825" cy="8162925"/>
            <wp:effectExtent l="0" t="0" r="3175" b="9525"/>
            <wp:docPr id="18703125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9825" cy="8162925"/>
                    </a:xfrm>
                    <a:prstGeom prst="rect">
                      <a:avLst/>
                    </a:prstGeom>
                    <a:noFill/>
                    <a:ln>
                      <a:noFill/>
                    </a:ln>
                  </pic:spPr>
                </pic:pic>
              </a:graphicData>
            </a:graphic>
          </wp:inline>
        </w:drawing>
      </w:r>
      <w:r>
        <w:rPr>
          <w:noProof/>
        </w:rPr>
        <w:drawing>
          <wp:inline distT="0" distB="0" distL="0" distR="0" wp14:anchorId="326E302A" wp14:editId="64999697">
            <wp:extent cx="4949825" cy="7752080"/>
            <wp:effectExtent l="0" t="0" r="3175" b="1270"/>
            <wp:docPr id="17269604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9825" cy="7752080"/>
                    </a:xfrm>
                    <a:prstGeom prst="rect">
                      <a:avLst/>
                    </a:prstGeom>
                    <a:noFill/>
                    <a:ln>
                      <a:noFill/>
                    </a:ln>
                  </pic:spPr>
                </pic:pic>
              </a:graphicData>
            </a:graphic>
          </wp:inline>
        </w:drawing>
      </w:r>
      <w:r>
        <w:rPr>
          <w:noProof/>
        </w:rPr>
        <w:drawing>
          <wp:inline distT="0" distB="0" distL="0" distR="0" wp14:anchorId="730DB73C" wp14:editId="0C88510A">
            <wp:extent cx="4930775" cy="8171815"/>
            <wp:effectExtent l="0" t="0" r="3175" b="635"/>
            <wp:docPr id="14094025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0775" cy="8171815"/>
                    </a:xfrm>
                    <a:prstGeom prst="rect">
                      <a:avLst/>
                    </a:prstGeom>
                    <a:noFill/>
                    <a:ln>
                      <a:noFill/>
                    </a:ln>
                  </pic:spPr>
                </pic:pic>
              </a:graphicData>
            </a:graphic>
          </wp:inline>
        </w:drawing>
      </w:r>
    </w:p>
    <w:p w14:paraId="3C34D819" w14:textId="644B23A0" w:rsidR="00C40D2C" w:rsidRPr="00274106" w:rsidRDefault="00C40D2C" w:rsidP="006328AC">
      <w:pPr>
        <w:jc w:val="both"/>
        <w:rPr>
          <w:rFonts w:ascii="Times New Roman" w:hAnsi="Times New Roman" w:cs="Times New Roman"/>
          <w:sz w:val="24"/>
          <w:szCs w:val="24"/>
          <w:lang w:val="id-ID"/>
        </w:rPr>
      </w:pPr>
    </w:p>
    <w:sectPr w:rsidR="00C40D2C" w:rsidRPr="00274106" w:rsidSect="00DC19D9">
      <w:footerReference w:type="default" r:id="rId27"/>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63851" w14:textId="77777777" w:rsidR="00E367B4" w:rsidRDefault="00E367B4" w:rsidP="00AB29AA">
      <w:pPr>
        <w:spacing w:after="0" w:line="240" w:lineRule="auto"/>
      </w:pPr>
      <w:r>
        <w:separator/>
      </w:r>
    </w:p>
  </w:endnote>
  <w:endnote w:type="continuationSeparator" w:id="0">
    <w:p w14:paraId="70B5DE33" w14:textId="77777777" w:rsidR="00E367B4" w:rsidRDefault="00E367B4" w:rsidP="00AB2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FCBB6" w14:textId="77777777" w:rsidR="003201F6" w:rsidRDefault="00320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5047B" w14:textId="77777777" w:rsidR="00AA5FBB" w:rsidRDefault="00AA5F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4A54E" w14:textId="5E1F2F21" w:rsidR="00314BD9" w:rsidRDefault="00314BD9">
    <w:pPr>
      <w:pStyle w:val="Footer"/>
      <w:jc w:val="center"/>
    </w:pPr>
  </w:p>
  <w:p w14:paraId="0FC6721D" w14:textId="77777777" w:rsidR="00314BD9" w:rsidRDefault="0031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3A71B" w14:textId="77777777" w:rsidR="00E367B4" w:rsidRDefault="00E367B4" w:rsidP="00AB29AA">
      <w:pPr>
        <w:spacing w:after="0" w:line="240" w:lineRule="auto"/>
      </w:pPr>
      <w:r>
        <w:separator/>
      </w:r>
    </w:p>
  </w:footnote>
  <w:footnote w:type="continuationSeparator" w:id="0">
    <w:p w14:paraId="315DDA8D" w14:textId="77777777" w:rsidR="00E367B4" w:rsidRDefault="00E367B4" w:rsidP="00AB2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2181B" w14:textId="77777777" w:rsidR="00F43FF6" w:rsidRDefault="00F43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702E5" w14:textId="77777777" w:rsidR="00F43FF6" w:rsidRDefault="00F43F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4480192"/>
      <w:docPartObj>
        <w:docPartGallery w:val="Page Numbers (Top of Page)"/>
        <w:docPartUnique/>
      </w:docPartObj>
    </w:sdtPr>
    <w:sdtEndPr>
      <w:rPr>
        <w:noProof/>
      </w:rPr>
    </w:sdtEndPr>
    <w:sdtContent>
      <w:p w14:paraId="1E48A1E1" w14:textId="1746C5CD" w:rsidR="00E97BA6" w:rsidRDefault="00E97BA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D505F2" w14:textId="77777777" w:rsidR="00E97BA6" w:rsidRDefault="00E97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1489"/>
    <w:multiLevelType w:val="hybridMultilevel"/>
    <w:tmpl w:val="12081D22"/>
    <w:lvl w:ilvl="0" w:tplc="FF8428D4">
      <w:start w:val="1"/>
      <w:numFmt w:val="decimal"/>
      <w:lvlText w:val="%1."/>
      <w:lvlJc w:val="left"/>
      <w:pPr>
        <w:ind w:left="121" w:hanging="360"/>
      </w:pPr>
      <w:rPr>
        <w:b/>
        <w:bCs w:val="0"/>
      </w:rPr>
    </w:lvl>
    <w:lvl w:ilvl="1" w:tplc="08090019" w:tentative="1">
      <w:start w:val="1"/>
      <w:numFmt w:val="lowerLetter"/>
      <w:lvlText w:val="%2."/>
      <w:lvlJc w:val="left"/>
      <w:pPr>
        <w:ind w:left="841" w:hanging="360"/>
      </w:pPr>
    </w:lvl>
    <w:lvl w:ilvl="2" w:tplc="0809001B" w:tentative="1">
      <w:start w:val="1"/>
      <w:numFmt w:val="lowerRoman"/>
      <w:lvlText w:val="%3."/>
      <w:lvlJc w:val="right"/>
      <w:pPr>
        <w:ind w:left="1561" w:hanging="180"/>
      </w:pPr>
    </w:lvl>
    <w:lvl w:ilvl="3" w:tplc="0809000F" w:tentative="1">
      <w:start w:val="1"/>
      <w:numFmt w:val="decimal"/>
      <w:lvlText w:val="%4."/>
      <w:lvlJc w:val="left"/>
      <w:pPr>
        <w:ind w:left="2281" w:hanging="360"/>
      </w:pPr>
    </w:lvl>
    <w:lvl w:ilvl="4" w:tplc="08090019" w:tentative="1">
      <w:start w:val="1"/>
      <w:numFmt w:val="lowerLetter"/>
      <w:lvlText w:val="%5."/>
      <w:lvlJc w:val="left"/>
      <w:pPr>
        <w:ind w:left="3001" w:hanging="360"/>
      </w:pPr>
    </w:lvl>
    <w:lvl w:ilvl="5" w:tplc="0809001B" w:tentative="1">
      <w:start w:val="1"/>
      <w:numFmt w:val="lowerRoman"/>
      <w:lvlText w:val="%6."/>
      <w:lvlJc w:val="right"/>
      <w:pPr>
        <w:ind w:left="3721" w:hanging="180"/>
      </w:pPr>
    </w:lvl>
    <w:lvl w:ilvl="6" w:tplc="0809000F" w:tentative="1">
      <w:start w:val="1"/>
      <w:numFmt w:val="decimal"/>
      <w:lvlText w:val="%7."/>
      <w:lvlJc w:val="left"/>
      <w:pPr>
        <w:ind w:left="4441" w:hanging="360"/>
      </w:pPr>
    </w:lvl>
    <w:lvl w:ilvl="7" w:tplc="08090019" w:tentative="1">
      <w:start w:val="1"/>
      <w:numFmt w:val="lowerLetter"/>
      <w:lvlText w:val="%8."/>
      <w:lvlJc w:val="left"/>
      <w:pPr>
        <w:ind w:left="5161" w:hanging="360"/>
      </w:pPr>
    </w:lvl>
    <w:lvl w:ilvl="8" w:tplc="0809001B" w:tentative="1">
      <w:start w:val="1"/>
      <w:numFmt w:val="lowerRoman"/>
      <w:lvlText w:val="%9."/>
      <w:lvlJc w:val="right"/>
      <w:pPr>
        <w:ind w:left="5881" w:hanging="180"/>
      </w:pPr>
    </w:lvl>
  </w:abstractNum>
  <w:abstractNum w:abstractNumId="1" w15:restartNumberingAfterBreak="0">
    <w:nsid w:val="04D76EAF"/>
    <w:multiLevelType w:val="hybridMultilevel"/>
    <w:tmpl w:val="E4EA65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5E30684"/>
    <w:multiLevelType w:val="hybridMultilevel"/>
    <w:tmpl w:val="4CA01736"/>
    <w:lvl w:ilvl="0" w:tplc="FFFFFFFF">
      <w:start w:val="1"/>
      <w:numFmt w:val="decimal"/>
      <w:lvlText w:val="%1)"/>
      <w:lvlJc w:val="left"/>
      <w:pPr>
        <w:ind w:left="2280" w:hanging="360"/>
      </w:pPr>
      <w:rPr>
        <w:i w:val="0"/>
        <w:iCs/>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 w15:restartNumberingAfterBreak="0">
    <w:nsid w:val="0A7015C1"/>
    <w:multiLevelType w:val="hybridMultilevel"/>
    <w:tmpl w:val="A32C385C"/>
    <w:lvl w:ilvl="0" w:tplc="3809000F">
      <w:start w:val="1"/>
      <w:numFmt w:val="decimal"/>
      <w:lvlText w:val="%1."/>
      <w:lvlJc w:val="left"/>
      <w:pPr>
        <w:ind w:left="1778"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4" w15:restartNumberingAfterBreak="0">
    <w:nsid w:val="12CB34F5"/>
    <w:multiLevelType w:val="hybridMultilevel"/>
    <w:tmpl w:val="B7782012"/>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15:restartNumberingAfterBreak="0">
    <w:nsid w:val="155211C7"/>
    <w:multiLevelType w:val="hybridMultilevel"/>
    <w:tmpl w:val="E52C8E28"/>
    <w:lvl w:ilvl="0" w:tplc="B4A478F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59C24A8"/>
    <w:multiLevelType w:val="hybridMultilevel"/>
    <w:tmpl w:val="FE62A196"/>
    <w:lvl w:ilvl="0" w:tplc="D744EA88">
      <w:start w:val="2"/>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AB6B24"/>
    <w:multiLevelType w:val="hybridMultilevel"/>
    <w:tmpl w:val="B2DEA440"/>
    <w:lvl w:ilvl="0" w:tplc="C4604154">
      <w:start w:val="1"/>
      <w:numFmt w:val="decimal"/>
      <w:lvlText w:val="%1."/>
      <w:lvlJc w:val="left"/>
      <w:pPr>
        <w:ind w:left="1146" w:hanging="360"/>
      </w:pPr>
      <w:rPr>
        <w:b w:val="0"/>
        <w:bCs/>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 w15:restartNumberingAfterBreak="0">
    <w:nsid w:val="18E255F2"/>
    <w:multiLevelType w:val="hybridMultilevel"/>
    <w:tmpl w:val="FE76B090"/>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 w15:restartNumberingAfterBreak="0">
    <w:nsid w:val="1A754221"/>
    <w:multiLevelType w:val="hybridMultilevel"/>
    <w:tmpl w:val="4AE22E32"/>
    <w:lvl w:ilvl="0" w:tplc="9524F958">
      <w:start w:val="1"/>
      <w:numFmt w:val="decimal"/>
      <w:lvlText w:val="%1."/>
      <w:lvlJc w:val="left"/>
      <w:pPr>
        <w:ind w:left="1146" w:hanging="360"/>
      </w:pPr>
      <w:rPr>
        <w:b w:val="0"/>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1D87793D"/>
    <w:multiLevelType w:val="hybridMultilevel"/>
    <w:tmpl w:val="03EE0EAE"/>
    <w:lvl w:ilvl="0" w:tplc="0409000F">
      <w:start w:val="1"/>
      <w:numFmt w:val="decimal"/>
      <w:lvlText w:val="%1."/>
      <w:lvlJc w:val="left"/>
      <w:pPr>
        <w:ind w:left="1353"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21574418"/>
    <w:multiLevelType w:val="hybridMultilevel"/>
    <w:tmpl w:val="21D2B5E8"/>
    <w:lvl w:ilvl="0" w:tplc="D9D6A2D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960EAE"/>
    <w:multiLevelType w:val="hybridMultilevel"/>
    <w:tmpl w:val="396407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B324D78"/>
    <w:multiLevelType w:val="hybridMultilevel"/>
    <w:tmpl w:val="8B3C0C94"/>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B5D3D10"/>
    <w:multiLevelType w:val="hybridMultilevel"/>
    <w:tmpl w:val="AB8A6FA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11E08E2"/>
    <w:multiLevelType w:val="hybridMultilevel"/>
    <w:tmpl w:val="DA20850E"/>
    <w:lvl w:ilvl="0" w:tplc="DA242918">
      <w:start w:val="1"/>
      <w:numFmt w:val="decimal"/>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2A4DCB"/>
    <w:multiLevelType w:val="hybridMultilevel"/>
    <w:tmpl w:val="7910DE2A"/>
    <w:lvl w:ilvl="0" w:tplc="C8503DFC">
      <w:start w:val="2"/>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1E26CC8"/>
    <w:multiLevelType w:val="hybridMultilevel"/>
    <w:tmpl w:val="E904C820"/>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332259FC"/>
    <w:multiLevelType w:val="hybridMultilevel"/>
    <w:tmpl w:val="F5348DC2"/>
    <w:lvl w:ilvl="0" w:tplc="D94CC1D6">
      <w:start w:val="1"/>
      <w:numFmt w:val="decimal"/>
      <w:lvlText w:val="%1."/>
      <w:lvlJc w:val="left"/>
      <w:pPr>
        <w:ind w:left="1637" w:hanging="360"/>
      </w:pPr>
      <w:rPr>
        <w:i w:val="0"/>
        <w:iCs/>
      </w:rPr>
    </w:lvl>
    <w:lvl w:ilvl="1" w:tplc="38090019" w:tentative="1">
      <w:start w:val="1"/>
      <w:numFmt w:val="lowerLetter"/>
      <w:lvlText w:val="%2."/>
      <w:lvlJc w:val="left"/>
      <w:pPr>
        <w:ind w:left="2652" w:hanging="360"/>
      </w:pPr>
    </w:lvl>
    <w:lvl w:ilvl="2" w:tplc="3809001B" w:tentative="1">
      <w:start w:val="1"/>
      <w:numFmt w:val="lowerRoman"/>
      <w:lvlText w:val="%3."/>
      <w:lvlJc w:val="right"/>
      <w:pPr>
        <w:ind w:left="3372" w:hanging="180"/>
      </w:pPr>
    </w:lvl>
    <w:lvl w:ilvl="3" w:tplc="3809000F" w:tentative="1">
      <w:start w:val="1"/>
      <w:numFmt w:val="decimal"/>
      <w:lvlText w:val="%4."/>
      <w:lvlJc w:val="left"/>
      <w:pPr>
        <w:ind w:left="4092" w:hanging="360"/>
      </w:pPr>
    </w:lvl>
    <w:lvl w:ilvl="4" w:tplc="38090019" w:tentative="1">
      <w:start w:val="1"/>
      <w:numFmt w:val="lowerLetter"/>
      <w:lvlText w:val="%5."/>
      <w:lvlJc w:val="left"/>
      <w:pPr>
        <w:ind w:left="4812" w:hanging="360"/>
      </w:pPr>
    </w:lvl>
    <w:lvl w:ilvl="5" w:tplc="3809001B" w:tentative="1">
      <w:start w:val="1"/>
      <w:numFmt w:val="lowerRoman"/>
      <w:lvlText w:val="%6."/>
      <w:lvlJc w:val="right"/>
      <w:pPr>
        <w:ind w:left="5532" w:hanging="180"/>
      </w:pPr>
    </w:lvl>
    <w:lvl w:ilvl="6" w:tplc="3809000F" w:tentative="1">
      <w:start w:val="1"/>
      <w:numFmt w:val="decimal"/>
      <w:lvlText w:val="%7."/>
      <w:lvlJc w:val="left"/>
      <w:pPr>
        <w:ind w:left="6252" w:hanging="360"/>
      </w:pPr>
    </w:lvl>
    <w:lvl w:ilvl="7" w:tplc="38090019" w:tentative="1">
      <w:start w:val="1"/>
      <w:numFmt w:val="lowerLetter"/>
      <w:lvlText w:val="%8."/>
      <w:lvlJc w:val="left"/>
      <w:pPr>
        <w:ind w:left="6972" w:hanging="360"/>
      </w:pPr>
    </w:lvl>
    <w:lvl w:ilvl="8" w:tplc="3809001B" w:tentative="1">
      <w:start w:val="1"/>
      <w:numFmt w:val="lowerRoman"/>
      <w:lvlText w:val="%9."/>
      <w:lvlJc w:val="right"/>
      <w:pPr>
        <w:ind w:left="7692" w:hanging="180"/>
      </w:pPr>
    </w:lvl>
  </w:abstractNum>
  <w:abstractNum w:abstractNumId="19" w15:restartNumberingAfterBreak="0">
    <w:nsid w:val="35872E7E"/>
    <w:multiLevelType w:val="hybridMultilevel"/>
    <w:tmpl w:val="8B3C0C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794710"/>
    <w:multiLevelType w:val="hybridMultilevel"/>
    <w:tmpl w:val="BD16943A"/>
    <w:lvl w:ilvl="0" w:tplc="DBA27D90">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9610751"/>
    <w:multiLevelType w:val="hybridMultilevel"/>
    <w:tmpl w:val="64324CE8"/>
    <w:lvl w:ilvl="0" w:tplc="C2804A0A">
      <w:start w:val="1"/>
      <w:numFmt w:val="decimal"/>
      <w:lvlText w:val="%1)"/>
      <w:lvlJc w:val="left"/>
      <w:pPr>
        <w:ind w:left="720" w:hanging="360"/>
      </w:pPr>
      <w:rPr>
        <w:b/>
        <w:bCs/>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4A3B9D"/>
    <w:multiLevelType w:val="hybridMultilevel"/>
    <w:tmpl w:val="4E9C2122"/>
    <w:lvl w:ilvl="0" w:tplc="04090019">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451A386E"/>
    <w:multiLevelType w:val="hybridMultilevel"/>
    <w:tmpl w:val="0308A780"/>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4" w15:restartNumberingAfterBreak="0">
    <w:nsid w:val="4865199B"/>
    <w:multiLevelType w:val="hybridMultilevel"/>
    <w:tmpl w:val="9544F5EC"/>
    <w:lvl w:ilvl="0" w:tplc="EC6CA6B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9B15C08"/>
    <w:multiLevelType w:val="hybridMultilevel"/>
    <w:tmpl w:val="A1DE69A4"/>
    <w:lvl w:ilvl="0" w:tplc="573AD4BC">
      <w:start w:val="1"/>
      <w:numFmt w:val="upperLetter"/>
      <w:pStyle w:val="Bab1Head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A491EE0"/>
    <w:multiLevelType w:val="hybridMultilevel"/>
    <w:tmpl w:val="6EF089D0"/>
    <w:lvl w:ilvl="0" w:tplc="E9ACFA2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4D1C643D"/>
    <w:multiLevelType w:val="hybridMultilevel"/>
    <w:tmpl w:val="7CDEB652"/>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27801B9"/>
    <w:multiLevelType w:val="hybridMultilevel"/>
    <w:tmpl w:val="7474E12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368053F"/>
    <w:multiLevelType w:val="hybridMultilevel"/>
    <w:tmpl w:val="DE7E2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874953"/>
    <w:multiLevelType w:val="hybridMultilevel"/>
    <w:tmpl w:val="B8845866"/>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79E0D70"/>
    <w:multiLevelType w:val="hybridMultilevel"/>
    <w:tmpl w:val="63F8A860"/>
    <w:lvl w:ilvl="0" w:tplc="FE26BEA6">
      <w:start w:val="3"/>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8765DAB"/>
    <w:multiLevelType w:val="hybridMultilevel"/>
    <w:tmpl w:val="71E248F0"/>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9CE101F"/>
    <w:multiLevelType w:val="hybridMultilevel"/>
    <w:tmpl w:val="A3E0548A"/>
    <w:lvl w:ilvl="0" w:tplc="04090015">
      <w:start w:val="1"/>
      <w:numFmt w:val="upperLetter"/>
      <w:lvlText w:val="%1."/>
      <w:lvlJc w:val="left"/>
      <w:pPr>
        <w:ind w:left="720" w:hanging="360"/>
      </w:pPr>
    </w:lvl>
    <w:lvl w:ilvl="1" w:tplc="A72E0982">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0F3205B"/>
    <w:multiLevelType w:val="hybridMultilevel"/>
    <w:tmpl w:val="F0267262"/>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719766D"/>
    <w:multiLevelType w:val="hybridMultilevel"/>
    <w:tmpl w:val="5BEE51EE"/>
    <w:lvl w:ilvl="0" w:tplc="38090019">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765556F"/>
    <w:multiLevelType w:val="hybridMultilevel"/>
    <w:tmpl w:val="7EF2A436"/>
    <w:lvl w:ilvl="0" w:tplc="D9D6A2D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A3E1C0D"/>
    <w:multiLevelType w:val="hybridMultilevel"/>
    <w:tmpl w:val="EE42FCD8"/>
    <w:lvl w:ilvl="0" w:tplc="38090019">
      <w:start w:val="1"/>
      <w:numFmt w:val="lowerLetter"/>
      <w:lvlText w:val="%1."/>
      <w:lvlJc w:val="left"/>
      <w:pPr>
        <w:ind w:left="1146" w:hanging="360"/>
      </w:pPr>
      <w:rPr>
        <w:b/>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8" w15:restartNumberingAfterBreak="0">
    <w:nsid w:val="6B0607F6"/>
    <w:multiLevelType w:val="hybridMultilevel"/>
    <w:tmpl w:val="F46A07E8"/>
    <w:lvl w:ilvl="0" w:tplc="04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9" w15:restartNumberingAfterBreak="0">
    <w:nsid w:val="73F6707F"/>
    <w:multiLevelType w:val="hybridMultilevel"/>
    <w:tmpl w:val="4CA01736"/>
    <w:lvl w:ilvl="0" w:tplc="D4E4E2D2">
      <w:start w:val="1"/>
      <w:numFmt w:val="decimal"/>
      <w:lvlText w:val="%1)"/>
      <w:lvlJc w:val="left"/>
      <w:pPr>
        <w:ind w:left="2280" w:hanging="360"/>
      </w:pPr>
      <w:rPr>
        <w:i w:val="0"/>
        <w:iCs/>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0" w15:restartNumberingAfterBreak="0">
    <w:nsid w:val="751150BA"/>
    <w:multiLevelType w:val="hybridMultilevel"/>
    <w:tmpl w:val="71A41F82"/>
    <w:lvl w:ilvl="0" w:tplc="2E06E282">
      <w:start w:val="1"/>
      <w:numFmt w:val="decimal"/>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714147C"/>
    <w:multiLevelType w:val="hybridMultilevel"/>
    <w:tmpl w:val="AA12E072"/>
    <w:lvl w:ilvl="0" w:tplc="0421000F">
      <w:start w:val="1"/>
      <w:numFmt w:val="decimal"/>
      <w:lvlText w:val="%1."/>
      <w:lvlJc w:val="left"/>
      <w:pPr>
        <w:ind w:left="690" w:hanging="360"/>
      </w:pPr>
    </w:lvl>
    <w:lvl w:ilvl="1" w:tplc="04210019" w:tentative="1">
      <w:start w:val="1"/>
      <w:numFmt w:val="lowerLetter"/>
      <w:lvlText w:val="%2."/>
      <w:lvlJc w:val="left"/>
      <w:pPr>
        <w:ind w:left="1410" w:hanging="360"/>
      </w:pPr>
    </w:lvl>
    <w:lvl w:ilvl="2" w:tplc="0421001B" w:tentative="1">
      <w:start w:val="1"/>
      <w:numFmt w:val="lowerRoman"/>
      <w:lvlText w:val="%3."/>
      <w:lvlJc w:val="right"/>
      <w:pPr>
        <w:ind w:left="2130" w:hanging="180"/>
      </w:pPr>
    </w:lvl>
    <w:lvl w:ilvl="3" w:tplc="0421000F" w:tentative="1">
      <w:start w:val="1"/>
      <w:numFmt w:val="decimal"/>
      <w:lvlText w:val="%4."/>
      <w:lvlJc w:val="left"/>
      <w:pPr>
        <w:ind w:left="2850" w:hanging="360"/>
      </w:pPr>
    </w:lvl>
    <w:lvl w:ilvl="4" w:tplc="04210019" w:tentative="1">
      <w:start w:val="1"/>
      <w:numFmt w:val="lowerLetter"/>
      <w:lvlText w:val="%5."/>
      <w:lvlJc w:val="left"/>
      <w:pPr>
        <w:ind w:left="3570" w:hanging="360"/>
      </w:pPr>
    </w:lvl>
    <w:lvl w:ilvl="5" w:tplc="0421001B" w:tentative="1">
      <w:start w:val="1"/>
      <w:numFmt w:val="lowerRoman"/>
      <w:lvlText w:val="%6."/>
      <w:lvlJc w:val="right"/>
      <w:pPr>
        <w:ind w:left="4290" w:hanging="180"/>
      </w:pPr>
    </w:lvl>
    <w:lvl w:ilvl="6" w:tplc="0421000F" w:tentative="1">
      <w:start w:val="1"/>
      <w:numFmt w:val="decimal"/>
      <w:lvlText w:val="%7."/>
      <w:lvlJc w:val="left"/>
      <w:pPr>
        <w:ind w:left="5010" w:hanging="360"/>
      </w:pPr>
    </w:lvl>
    <w:lvl w:ilvl="7" w:tplc="04210019" w:tentative="1">
      <w:start w:val="1"/>
      <w:numFmt w:val="lowerLetter"/>
      <w:lvlText w:val="%8."/>
      <w:lvlJc w:val="left"/>
      <w:pPr>
        <w:ind w:left="5730" w:hanging="360"/>
      </w:pPr>
    </w:lvl>
    <w:lvl w:ilvl="8" w:tplc="0421001B" w:tentative="1">
      <w:start w:val="1"/>
      <w:numFmt w:val="lowerRoman"/>
      <w:lvlText w:val="%9."/>
      <w:lvlJc w:val="right"/>
      <w:pPr>
        <w:ind w:left="6450" w:hanging="180"/>
      </w:pPr>
    </w:lvl>
  </w:abstractNum>
  <w:abstractNum w:abstractNumId="42" w15:restartNumberingAfterBreak="0">
    <w:nsid w:val="7AB666AD"/>
    <w:multiLevelType w:val="hybridMultilevel"/>
    <w:tmpl w:val="99CCC6BA"/>
    <w:lvl w:ilvl="0" w:tplc="5C8260CC">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FBB0159"/>
    <w:multiLevelType w:val="hybridMultilevel"/>
    <w:tmpl w:val="ACDE45EE"/>
    <w:lvl w:ilvl="0" w:tplc="0809000F">
      <w:start w:val="1"/>
      <w:numFmt w:val="decimal"/>
      <w:lvlText w:val="%1."/>
      <w:lvlJc w:val="left"/>
      <w:pPr>
        <w:ind w:left="1080" w:hanging="360"/>
      </w:pPr>
    </w:lvl>
    <w:lvl w:ilvl="1" w:tplc="D9D6A2DE">
      <w:start w:val="1"/>
      <w:numFmt w:val="upp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9923870">
    <w:abstractNumId w:val="41"/>
  </w:num>
  <w:num w:numId="2" w16cid:durableId="350449329">
    <w:abstractNumId w:val="43"/>
  </w:num>
  <w:num w:numId="3" w16cid:durableId="2027948741">
    <w:abstractNumId w:val="0"/>
  </w:num>
  <w:num w:numId="4" w16cid:durableId="14888420">
    <w:abstractNumId w:val="18"/>
  </w:num>
  <w:num w:numId="5" w16cid:durableId="579218599">
    <w:abstractNumId w:val="20"/>
  </w:num>
  <w:num w:numId="6" w16cid:durableId="815681101">
    <w:abstractNumId w:val="23"/>
  </w:num>
  <w:num w:numId="7" w16cid:durableId="1313024175">
    <w:abstractNumId w:val="21"/>
  </w:num>
  <w:num w:numId="8" w16cid:durableId="33239050">
    <w:abstractNumId w:val="39"/>
  </w:num>
  <w:num w:numId="9" w16cid:durableId="269436006">
    <w:abstractNumId w:val="10"/>
  </w:num>
  <w:num w:numId="10" w16cid:durableId="2020542429">
    <w:abstractNumId w:val="22"/>
  </w:num>
  <w:num w:numId="11" w16cid:durableId="832186872">
    <w:abstractNumId w:val="16"/>
  </w:num>
  <w:num w:numId="12" w16cid:durableId="929192525">
    <w:abstractNumId w:val="34"/>
  </w:num>
  <w:num w:numId="13" w16cid:durableId="1699433534">
    <w:abstractNumId w:val="33"/>
  </w:num>
  <w:num w:numId="14" w16cid:durableId="960187190">
    <w:abstractNumId w:val="30"/>
  </w:num>
  <w:num w:numId="15" w16cid:durableId="631330673">
    <w:abstractNumId w:val="29"/>
  </w:num>
  <w:num w:numId="16" w16cid:durableId="285623800">
    <w:abstractNumId w:val="15"/>
  </w:num>
  <w:num w:numId="17" w16cid:durableId="288706611">
    <w:abstractNumId w:val="5"/>
  </w:num>
  <w:num w:numId="18" w16cid:durableId="1992636301">
    <w:abstractNumId w:val="38"/>
  </w:num>
  <w:num w:numId="19" w16cid:durableId="1878395574">
    <w:abstractNumId w:val="8"/>
  </w:num>
  <w:num w:numId="20" w16cid:durableId="986127555">
    <w:abstractNumId w:val="3"/>
  </w:num>
  <w:num w:numId="21" w16cid:durableId="696274926">
    <w:abstractNumId w:val="12"/>
  </w:num>
  <w:num w:numId="22" w16cid:durableId="607391641">
    <w:abstractNumId w:val="1"/>
  </w:num>
  <w:num w:numId="23" w16cid:durableId="1368989902">
    <w:abstractNumId w:val="14"/>
  </w:num>
  <w:num w:numId="24" w16cid:durableId="916594504">
    <w:abstractNumId w:val="17"/>
  </w:num>
  <w:num w:numId="25" w16cid:durableId="109983028">
    <w:abstractNumId w:val="28"/>
  </w:num>
  <w:num w:numId="26" w16cid:durableId="171841587">
    <w:abstractNumId w:val="11"/>
  </w:num>
  <w:num w:numId="27" w16cid:durableId="2069572803">
    <w:abstractNumId w:val="42"/>
  </w:num>
  <w:num w:numId="28" w16cid:durableId="1357735948">
    <w:abstractNumId w:val="37"/>
  </w:num>
  <w:num w:numId="29" w16cid:durableId="112067172">
    <w:abstractNumId w:val="35"/>
  </w:num>
  <w:num w:numId="30" w16cid:durableId="1459880562">
    <w:abstractNumId w:val="40"/>
  </w:num>
  <w:num w:numId="31" w16cid:durableId="601769671">
    <w:abstractNumId w:val="4"/>
  </w:num>
  <w:num w:numId="32" w16cid:durableId="334233972">
    <w:abstractNumId w:val="36"/>
  </w:num>
  <w:num w:numId="33" w16cid:durableId="1817334422">
    <w:abstractNumId w:val="9"/>
  </w:num>
  <w:num w:numId="34" w16cid:durableId="668602102">
    <w:abstractNumId w:val="7"/>
  </w:num>
  <w:num w:numId="35" w16cid:durableId="1867212035">
    <w:abstractNumId w:val="25"/>
  </w:num>
  <w:num w:numId="36" w16cid:durableId="409079086">
    <w:abstractNumId w:val="24"/>
  </w:num>
  <w:num w:numId="37" w16cid:durableId="2142109938">
    <w:abstractNumId w:val="26"/>
  </w:num>
  <w:num w:numId="38" w16cid:durableId="1006640011">
    <w:abstractNumId w:val="27"/>
  </w:num>
  <w:num w:numId="39" w16cid:durableId="620652273">
    <w:abstractNumId w:val="2"/>
  </w:num>
  <w:num w:numId="40" w16cid:durableId="972490920">
    <w:abstractNumId w:val="32"/>
  </w:num>
  <w:num w:numId="41" w16cid:durableId="287513098">
    <w:abstractNumId w:val="13"/>
  </w:num>
  <w:num w:numId="42" w16cid:durableId="1187326853">
    <w:abstractNumId w:val="19"/>
  </w:num>
  <w:num w:numId="43" w16cid:durableId="246771619">
    <w:abstractNumId w:val="6"/>
  </w:num>
  <w:num w:numId="44" w16cid:durableId="783425459">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567"/>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EE"/>
    <w:rsid w:val="000011C3"/>
    <w:rsid w:val="00002C32"/>
    <w:rsid w:val="00003665"/>
    <w:rsid w:val="00003F02"/>
    <w:rsid w:val="000051E3"/>
    <w:rsid w:val="0000570F"/>
    <w:rsid w:val="00005E0E"/>
    <w:rsid w:val="00005F20"/>
    <w:rsid w:val="00015C82"/>
    <w:rsid w:val="00016D58"/>
    <w:rsid w:val="0002134A"/>
    <w:rsid w:val="00021F41"/>
    <w:rsid w:val="00022494"/>
    <w:rsid w:val="000243BE"/>
    <w:rsid w:val="00026002"/>
    <w:rsid w:val="000314AC"/>
    <w:rsid w:val="00031E92"/>
    <w:rsid w:val="00031FD5"/>
    <w:rsid w:val="00035263"/>
    <w:rsid w:val="00037C53"/>
    <w:rsid w:val="000479E7"/>
    <w:rsid w:val="000530DA"/>
    <w:rsid w:val="00053BDE"/>
    <w:rsid w:val="00055D68"/>
    <w:rsid w:val="000573AA"/>
    <w:rsid w:val="000651A3"/>
    <w:rsid w:val="00065534"/>
    <w:rsid w:val="000665B5"/>
    <w:rsid w:val="00066641"/>
    <w:rsid w:val="00070A0F"/>
    <w:rsid w:val="00070CE9"/>
    <w:rsid w:val="00071F9D"/>
    <w:rsid w:val="00072418"/>
    <w:rsid w:val="000728E6"/>
    <w:rsid w:val="000733C7"/>
    <w:rsid w:val="00074AC0"/>
    <w:rsid w:val="000765E2"/>
    <w:rsid w:val="00077B80"/>
    <w:rsid w:val="00080188"/>
    <w:rsid w:val="0008018A"/>
    <w:rsid w:val="00080F06"/>
    <w:rsid w:val="00081FD7"/>
    <w:rsid w:val="000846D5"/>
    <w:rsid w:val="00084C5F"/>
    <w:rsid w:val="000907EE"/>
    <w:rsid w:val="00090F96"/>
    <w:rsid w:val="000920F3"/>
    <w:rsid w:val="00093241"/>
    <w:rsid w:val="00094B36"/>
    <w:rsid w:val="00094BE2"/>
    <w:rsid w:val="000A327E"/>
    <w:rsid w:val="000A5E6A"/>
    <w:rsid w:val="000B34A3"/>
    <w:rsid w:val="000B4CF0"/>
    <w:rsid w:val="000B5CBB"/>
    <w:rsid w:val="000B62D8"/>
    <w:rsid w:val="000B7E9F"/>
    <w:rsid w:val="000C2843"/>
    <w:rsid w:val="000D05FD"/>
    <w:rsid w:val="000D0BD7"/>
    <w:rsid w:val="000D27EE"/>
    <w:rsid w:val="000D4567"/>
    <w:rsid w:val="000E02CF"/>
    <w:rsid w:val="000E11DE"/>
    <w:rsid w:val="000E16DB"/>
    <w:rsid w:val="000E1943"/>
    <w:rsid w:val="000E3B9E"/>
    <w:rsid w:val="000E6530"/>
    <w:rsid w:val="000E6979"/>
    <w:rsid w:val="000E7CA4"/>
    <w:rsid w:val="000F013A"/>
    <w:rsid w:val="000F13FB"/>
    <w:rsid w:val="000F1923"/>
    <w:rsid w:val="000F1D0C"/>
    <w:rsid w:val="000F218D"/>
    <w:rsid w:val="000F25C4"/>
    <w:rsid w:val="000F3E58"/>
    <w:rsid w:val="000F4A10"/>
    <w:rsid w:val="000F5B3D"/>
    <w:rsid w:val="000F7BCB"/>
    <w:rsid w:val="001000E6"/>
    <w:rsid w:val="0010295A"/>
    <w:rsid w:val="0010338B"/>
    <w:rsid w:val="001049E1"/>
    <w:rsid w:val="00105D20"/>
    <w:rsid w:val="0010794F"/>
    <w:rsid w:val="00112A3D"/>
    <w:rsid w:val="00115384"/>
    <w:rsid w:val="001164C8"/>
    <w:rsid w:val="001210D7"/>
    <w:rsid w:val="00122590"/>
    <w:rsid w:val="0012483D"/>
    <w:rsid w:val="00124EF8"/>
    <w:rsid w:val="00126CB4"/>
    <w:rsid w:val="00127C3B"/>
    <w:rsid w:val="00140829"/>
    <w:rsid w:val="0014107F"/>
    <w:rsid w:val="0014171C"/>
    <w:rsid w:val="00141F87"/>
    <w:rsid w:val="00144D0A"/>
    <w:rsid w:val="00152869"/>
    <w:rsid w:val="00156085"/>
    <w:rsid w:val="00156FB7"/>
    <w:rsid w:val="00160414"/>
    <w:rsid w:val="0016161C"/>
    <w:rsid w:val="00161674"/>
    <w:rsid w:val="001636DB"/>
    <w:rsid w:val="001638D2"/>
    <w:rsid w:val="00163F8F"/>
    <w:rsid w:val="001663D0"/>
    <w:rsid w:val="00167FD6"/>
    <w:rsid w:val="00171DD0"/>
    <w:rsid w:val="00171EE7"/>
    <w:rsid w:val="001742FC"/>
    <w:rsid w:val="001755B5"/>
    <w:rsid w:val="00175BD2"/>
    <w:rsid w:val="001772C0"/>
    <w:rsid w:val="00181637"/>
    <w:rsid w:val="001829BB"/>
    <w:rsid w:val="001914D3"/>
    <w:rsid w:val="0019272C"/>
    <w:rsid w:val="00192778"/>
    <w:rsid w:val="001A2923"/>
    <w:rsid w:val="001A5B52"/>
    <w:rsid w:val="001A7162"/>
    <w:rsid w:val="001B1512"/>
    <w:rsid w:val="001B23CB"/>
    <w:rsid w:val="001B3100"/>
    <w:rsid w:val="001B311A"/>
    <w:rsid w:val="001B5478"/>
    <w:rsid w:val="001B6958"/>
    <w:rsid w:val="001B7495"/>
    <w:rsid w:val="001C0298"/>
    <w:rsid w:val="001C31A8"/>
    <w:rsid w:val="001C3D19"/>
    <w:rsid w:val="001C6EAE"/>
    <w:rsid w:val="001D0900"/>
    <w:rsid w:val="001D57D3"/>
    <w:rsid w:val="001D7598"/>
    <w:rsid w:val="001D7E59"/>
    <w:rsid w:val="001E20D1"/>
    <w:rsid w:val="001E5DED"/>
    <w:rsid w:val="001E6889"/>
    <w:rsid w:val="001E7E43"/>
    <w:rsid w:val="001F073A"/>
    <w:rsid w:val="001F129A"/>
    <w:rsid w:val="001F1505"/>
    <w:rsid w:val="0020015E"/>
    <w:rsid w:val="0020017A"/>
    <w:rsid w:val="002004A4"/>
    <w:rsid w:val="00200CEB"/>
    <w:rsid w:val="00201192"/>
    <w:rsid w:val="002018C8"/>
    <w:rsid w:val="00204109"/>
    <w:rsid w:val="002042FF"/>
    <w:rsid w:val="00204305"/>
    <w:rsid w:val="00207AE7"/>
    <w:rsid w:val="00207DF6"/>
    <w:rsid w:val="0021396F"/>
    <w:rsid w:val="00220D4D"/>
    <w:rsid w:val="00220FB5"/>
    <w:rsid w:val="0022280C"/>
    <w:rsid w:val="00224F39"/>
    <w:rsid w:val="0022756F"/>
    <w:rsid w:val="00230207"/>
    <w:rsid w:val="002302F0"/>
    <w:rsid w:val="00231E19"/>
    <w:rsid w:val="00233054"/>
    <w:rsid w:val="002330B9"/>
    <w:rsid w:val="002379D4"/>
    <w:rsid w:val="00240F66"/>
    <w:rsid w:val="00244BE2"/>
    <w:rsid w:val="00247176"/>
    <w:rsid w:val="00250117"/>
    <w:rsid w:val="00251516"/>
    <w:rsid w:val="002519B2"/>
    <w:rsid w:val="00253131"/>
    <w:rsid w:val="00254612"/>
    <w:rsid w:val="00260D35"/>
    <w:rsid w:val="00266FF8"/>
    <w:rsid w:val="002673FF"/>
    <w:rsid w:val="00272167"/>
    <w:rsid w:val="00272349"/>
    <w:rsid w:val="00274106"/>
    <w:rsid w:val="002752A6"/>
    <w:rsid w:val="002758E0"/>
    <w:rsid w:val="00276770"/>
    <w:rsid w:val="0028011B"/>
    <w:rsid w:val="00287BB0"/>
    <w:rsid w:val="00291023"/>
    <w:rsid w:val="002910E9"/>
    <w:rsid w:val="00291448"/>
    <w:rsid w:val="00291928"/>
    <w:rsid w:val="00292266"/>
    <w:rsid w:val="0029621A"/>
    <w:rsid w:val="002A4AE4"/>
    <w:rsid w:val="002A4C18"/>
    <w:rsid w:val="002A7933"/>
    <w:rsid w:val="002B11F3"/>
    <w:rsid w:val="002B3605"/>
    <w:rsid w:val="002B4304"/>
    <w:rsid w:val="002B69CC"/>
    <w:rsid w:val="002B6AB5"/>
    <w:rsid w:val="002B7FDD"/>
    <w:rsid w:val="002C28D1"/>
    <w:rsid w:val="002C3D05"/>
    <w:rsid w:val="002C6B1C"/>
    <w:rsid w:val="002D1027"/>
    <w:rsid w:val="002D1056"/>
    <w:rsid w:val="002D1E81"/>
    <w:rsid w:val="002D20AA"/>
    <w:rsid w:val="002D3AAF"/>
    <w:rsid w:val="002D6C23"/>
    <w:rsid w:val="002D6DAC"/>
    <w:rsid w:val="002D720C"/>
    <w:rsid w:val="002E0AC6"/>
    <w:rsid w:val="002E5731"/>
    <w:rsid w:val="002F16F8"/>
    <w:rsid w:val="002F1EC6"/>
    <w:rsid w:val="002F24ED"/>
    <w:rsid w:val="002F5E80"/>
    <w:rsid w:val="002F741A"/>
    <w:rsid w:val="002F77E2"/>
    <w:rsid w:val="00301691"/>
    <w:rsid w:val="0030754E"/>
    <w:rsid w:val="003102E6"/>
    <w:rsid w:val="00312799"/>
    <w:rsid w:val="0031375A"/>
    <w:rsid w:val="003143FB"/>
    <w:rsid w:val="003144C9"/>
    <w:rsid w:val="00314BD9"/>
    <w:rsid w:val="00317D56"/>
    <w:rsid w:val="003201F6"/>
    <w:rsid w:val="00320726"/>
    <w:rsid w:val="0032125E"/>
    <w:rsid w:val="0033000C"/>
    <w:rsid w:val="003353D5"/>
    <w:rsid w:val="00336989"/>
    <w:rsid w:val="00347CC7"/>
    <w:rsid w:val="00351DDB"/>
    <w:rsid w:val="003527CC"/>
    <w:rsid w:val="00352AD9"/>
    <w:rsid w:val="00353034"/>
    <w:rsid w:val="00355042"/>
    <w:rsid w:val="00360883"/>
    <w:rsid w:val="00361B77"/>
    <w:rsid w:val="00362CE9"/>
    <w:rsid w:val="003668F4"/>
    <w:rsid w:val="00370A1A"/>
    <w:rsid w:val="003716E6"/>
    <w:rsid w:val="003800CF"/>
    <w:rsid w:val="0038041E"/>
    <w:rsid w:val="00381631"/>
    <w:rsid w:val="003819E1"/>
    <w:rsid w:val="00382707"/>
    <w:rsid w:val="00382AFE"/>
    <w:rsid w:val="0038462A"/>
    <w:rsid w:val="00386177"/>
    <w:rsid w:val="003863E2"/>
    <w:rsid w:val="00392356"/>
    <w:rsid w:val="00392D98"/>
    <w:rsid w:val="0039378F"/>
    <w:rsid w:val="003948BA"/>
    <w:rsid w:val="003970C5"/>
    <w:rsid w:val="003A159A"/>
    <w:rsid w:val="003A1684"/>
    <w:rsid w:val="003A16FB"/>
    <w:rsid w:val="003A209F"/>
    <w:rsid w:val="003A495A"/>
    <w:rsid w:val="003A49C9"/>
    <w:rsid w:val="003A4CDE"/>
    <w:rsid w:val="003A7F61"/>
    <w:rsid w:val="003B3C8A"/>
    <w:rsid w:val="003C3C90"/>
    <w:rsid w:val="003D0682"/>
    <w:rsid w:val="003D21F3"/>
    <w:rsid w:val="003D2AAE"/>
    <w:rsid w:val="003D2C44"/>
    <w:rsid w:val="003D5238"/>
    <w:rsid w:val="003D5E71"/>
    <w:rsid w:val="003D736E"/>
    <w:rsid w:val="003E26E5"/>
    <w:rsid w:val="003E38F0"/>
    <w:rsid w:val="003F5462"/>
    <w:rsid w:val="003F5AC8"/>
    <w:rsid w:val="003F69AF"/>
    <w:rsid w:val="003F7808"/>
    <w:rsid w:val="0040170B"/>
    <w:rsid w:val="00406D64"/>
    <w:rsid w:val="00407A67"/>
    <w:rsid w:val="0041031A"/>
    <w:rsid w:val="00411065"/>
    <w:rsid w:val="00411D2F"/>
    <w:rsid w:val="0041358A"/>
    <w:rsid w:val="004166E5"/>
    <w:rsid w:val="00416FC1"/>
    <w:rsid w:val="00423300"/>
    <w:rsid w:val="004245C2"/>
    <w:rsid w:val="004262A8"/>
    <w:rsid w:val="00426795"/>
    <w:rsid w:val="00426881"/>
    <w:rsid w:val="00430AE5"/>
    <w:rsid w:val="00430BD1"/>
    <w:rsid w:val="00432956"/>
    <w:rsid w:val="00432B4C"/>
    <w:rsid w:val="00433829"/>
    <w:rsid w:val="00436F30"/>
    <w:rsid w:val="00441B7C"/>
    <w:rsid w:val="0044262F"/>
    <w:rsid w:val="00443B0E"/>
    <w:rsid w:val="004455EE"/>
    <w:rsid w:val="00446763"/>
    <w:rsid w:val="0044690D"/>
    <w:rsid w:val="00447B82"/>
    <w:rsid w:val="00452C2B"/>
    <w:rsid w:val="00456EEC"/>
    <w:rsid w:val="0046004A"/>
    <w:rsid w:val="0046032E"/>
    <w:rsid w:val="00460BB7"/>
    <w:rsid w:val="00460D67"/>
    <w:rsid w:val="0046195C"/>
    <w:rsid w:val="00461F77"/>
    <w:rsid w:val="00462D31"/>
    <w:rsid w:val="00463DCE"/>
    <w:rsid w:val="00464892"/>
    <w:rsid w:val="004648FA"/>
    <w:rsid w:val="00464B13"/>
    <w:rsid w:val="00464B22"/>
    <w:rsid w:val="00466FE2"/>
    <w:rsid w:val="00472CE6"/>
    <w:rsid w:val="0047424E"/>
    <w:rsid w:val="00474EC1"/>
    <w:rsid w:val="00475F88"/>
    <w:rsid w:val="004769F6"/>
    <w:rsid w:val="00480963"/>
    <w:rsid w:val="00481A0E"/>
    <w:rsid w:val="00483612"/>
    <w:rsid w:val="004836D4"/>
    <w:rsid w:val="00485436"/>
    <w:rsid w:val="00486162"/>
    <w:rsid w:val="0048675C"/>
    <w:rsid w:val="004901B2"/>
    <w:rsid w:val="0049656C"/>
    <w:rsid w:val="0049686C"/>
    <w:rsid w:val="004971B3"/>
    <w:rsid w:val="004A2DCE"/>
    <w:rsid w:val="004A310A"/>
    <w:rsid w:val="004A325E"/>
    <w:rsid w:val="004A38B3"/>
    <w:rsid w:val="004A493C"/>
    <w:rsid w:val="004A4CE8"/>
    <w:rsid w:val="004A57B3"/>
    <w:rsid w:val="004A600D"/>
    <w:rsid w:val="004A7191"/>
    <w:rsid w:val="004A7D57"/>
    <w:rsid w:val="004A7FAA"/>
    <w:rsid w:val="004B02E6"/>
    <w:rsid w:val="004B0830"/>
    <w:rsid w:val="004B1B97"/>
    <w:rsid w:val="004B3538"/>
    <w:rsid w:val="004B4CD2"/>
    <w:rsid w:val="004B70C1"/>
    <w:rsid w:val="004D0A23"/>
    <w:rsid w:val="004D0BFF"/>
    <w:rsid w:val="004D15BC"/>
    <w:rsid w:val="004D1B22"/>
    <w:rsid w:val="004D4E57"/>
    <w:rsid w:val="004D5383"/>
    <w:rsid w:val="004D6519"/>
    <w:rsid w:val="004D73ED"/>
    <w:rsid w:val="004D7A46"/>
    <w:rsid w:val="004E0460"/>
    <w:rsid w:val="004E26BF"/>
    <w:rsid w:val="004E708E"/>
    <w:rsid w:val="004F03A3"/>
    <w:rsid w:val="004F1328"/>
    <w:rsid w:val="004F604D"/>
    <w:rsid w:val="004F6596"/>
    <w:rsid w:val="004F6C83"/>
    <w:rsid w:val="004F77F4"/>
    <w:rsid w:val="00502EF8"/>
    <w:rsid w:val="00503D28"/>
    <w:rsid w:val="00506972"/>
    <w:rsid w:val="005069C1"/>
    <w:rsid w:val="00510D5C"/>
    <w:rsid w:val="00511302"/>
    <w:rsid w:val="00511309"/>
    <w:rsid w:val="00511D98"/>
    <w:rsid w:val="00514E95"/>
    <w:rsid w:val="00515C41"/>
    <w:rsid w:val="005179F1"/>
    <w:rsid w:val="00520171"/>
    <w:rsid w:val="00521531"/>
    <w:rsid w:val="005221D7"/>
    <w:rsid w:val="0052283D"/>
    <w:rsid w:val="005249C1"/>
    <w:rsid w:val="00524F85"/>
    <w:rsid w:val="0052505E"/>
    <w:rsid w:val="00531595"/>
    <w:rsid w:val="00533D35"/>
    <w:rsid w:val="00535A24"/>
    <w:rsid w:val="005362FE"/>
    <w:rsid w:val="00537EA4"/>
    <w:rsid w:val="0054182A"/>
    <w:rsid w:val="00542FBA"/>
    <w:rsid w:val="00543463"/>
    <w:rsid w:val="005437A8"/>
    <w:rsid w:val="00544881"/>
    <w:rsid w:val="00551127"/>
    <w:rsid w:val="005539B0"/>
    <w:rsid w:val="0055534A"/>
    <w:rsid w:val="005570DE"/>
    <w:rsid w:val="00560001"/>
    <w:rsid w:val="00563160"/>
    <w:rsid w:val="00564AD9"/>
    <w:rsid w:val="00565023"/>
    <w:rsid w:val="00567AEB"/>
    <w:rsid w:val="005706F8"/>
    <w:rsid w:val="00570A8B"/>
    <w:rsid w:val="00571D65"/>
    <w:rsid w:val="00574A89"/>
    <w:rsid w:val="0057697F"/>
    <w:rsid w:val="005769F9"/>
    <w:rsid w:val="0057789E"/>
    <w:rsid w:val="00581684"/>
    <w:rsid w:val="0058242A"/>
    <w:rsid w:val="005831A5"/>
    <w:rsid w:val="00585772"/>
    <w:rsid w:val="00592134"/>
    <w:rsid w:val="00592681"/>
    <w:rsid w:val="005951AD"/>
    <w:rsid w:val="005965EA"/>
    <w:rsid w:val="005968B8"/>
    <w:rsid w:val="00597997"/>
    <w:rsid w:val="00597CAE"/>
    <w:rsid w:val="005A0593"/>
    <w:rsid w:val="005A13E1"/>
    <w:rsid w:val="005A3302"/>
    <w:rsid w:val="005A7F09"/>
    <w:rsid w:val="005B20AF"/>
    <w:rsid w:val="005B4FD1"/>
    <w:rsid w:val="005B7561"/>
    <w:rsid w:val="005C06BE"/>
    <w:rsid w:val="005C088D"/>
    <w:rsid w:val="005C1530"/>
    <w:rsid w:val="005C2062"/>
    <w:rsid w:val="005C26CF"/>
    <w:rsid w:val="005C366F"/>
    <w:rsid w:val="005C432E"/>
    <w:rsid w:val="005C45B6"/>
    <w:rsid w:val="005C4DC5"/>
    <w:rsid w:val="005C57D4"/>
    <w:rsid w:val="005C6A74"/>
    <w:rsid w:val="005D17BD"/>
    <w:rsid w:val="005D359D"/>
    <w:rsid w:val="005D369B"/>
    <w:rsid w:val="005D5D74"/>
    <w:rsid w:val="005D6AEC"/>
    <w:rsid w:val="005E0A5B"/>
    <w:rsid w:val="005E0DC5"/>
    <w:rsid w:val="005E31F9"/>
    <w:rsid w:val="005E3629"/>
    <w:rsid w:val="005E654B"/>
    <w:rsid w:val="005E7B1F"/>
    <w:rsid w:val="005F3CC9"/>
    <w:rsid w:val="005F3CEF"/>
    <w:rsid w:val="005F5B29"/>
    <w:rsid w:val="005F5E46"/>
    <w:rsid w:val="005F64CF"/>
    <w:rsid w:val="005F6A1A"/>
    <w:rsid w:val="005F7AC0"/>
    <w:rsid w:val="00601545"/>
    <w:rsid w:val="00604465"/>
    <w:rsid w:val="00607D6C"/>
    <w:rsid w:val="00610513"/>
    <w:rsid w:val="0061400E"/>
    <w:rsid w:val="00617B91"/>
    <w:rsid w:val="00620E14"/>
    <w:rsid w:val="00621E94"/>
    <w:rsid w:val="006233EB"/>
    <w:rsid w:val="006246CE"/>
    <w:rsid w:val="00625D29"/>
    <w:rsid w:val="00627D02"/>
    <w:rsid w:val="00627FAF"/>
    <w:rsid w:val="006306AC"/>
    <w:rsid w:val="0063207C"/>
    <w:rsid w:val="006328AC"/>
    <w:rsid w:val="006363DF"/>
    <w:rsid w:val="0064030D"/>
    <w:rsid w:val="00645AC3"/>
    <w:rsid w:val="00645D5E"/>
    <w:rsid w:val="00651D75"/>
    <w:rsid w:val="00654580"/>
    <w:rsid w:val="00657C2B"/>
    <w:rsid w:val="006625B8"/>
    <w:rsid w:val="00664A54"/>
    <w:rsid w:val="00665697"/>
    <w:rsid w:val="006672A8"/>
    <w:rsid w:val="0067371B"/>
    <w:rsid w:val="00673ABC"/>
    <w:rsid w:val="00674E49"/>
    <w:rsid w:val="00675B9F"/>
    <w:rsid w:val="00675FB7"/>
    <w:rsid w:val="00680C94"/>
    <w:rsid w:val="00684F4C"/>
    <w:rsid w:val="00687319"/>
    <w:rsid w:val="00687BAE"/>
    <w:rsid w:val="00694965"/>
    <w:rsid w:val="006A26E2"/>
    <w:rsid w:val="006A3BD7"/>
    <w:rsid w:val="006A4655"/>
    <w:rsid w:val="006B0D26"/>
    <w:rsid w:val="006B0D79"/>
    <w:rsid w:val="006B120B"/>
    <w:rsid w:val="006B22D3"/>
    <w:rsid w:val="006B24FB"/>
    <w:rsid w:val="006B251D"/>
    <w:rsid w:val="006B4A8C"/>
    <w:rsid w:val="006C0ABA"/>
    <w:rsid w:val="006C2904"/>
    <w:rsid w:val="006C6CB9"/>
    <w:rsid w:val="006C776C"/>
    <w:rsid w:val="006C7FA0"/>
    <w:rsid w:val="006D0696"/>
    <w:rsid w:val="006D1202"/>
    <w:rsid w:val="006D16C2"/>
    <w:rsid w:val="006D31FF"/>
    <w:rsid w:val="006D4786"/>
    <w:rsid w:val="006D530E"/>
    <w:rsid w:val="006D62D9"/>
    <w:rsid w:val="006D6D7B"/>
    <w:rsid w:val="006D75BD"/>
    <w:rsid w:val="006E000A"/>
    <w:rsid w:val="006E023B"/>
    <w:rsid w:val="006E0331"/>
    <w:rsid w:val="006E0487"/>
    <w:rsid w:val="006E227F"/>
    <w:rsid w:val="006E4B72"/>
    <w:rsid w:val="006E4D28"/>
    <w:rsid w:val="006E4D8F"/>
    <w:rsid w:val="006E53A9"/>
    <w:rsid w:val="006F0372"/>
    <w:rsid w:val="006F135A"/>
    <w:rsid w:val="006F3113"/>
    <w:rsid w:val="006F332E"/>
    <w:rsid w:val="006F4B29"/>
    <w:rsid w:val="006F547E"/>
    <w:rsid w:val="006F6844"/>
    <w:rsid w:val="006F7A8D"/>
    <w:rsid w:val="00701356"/>
    <w:rsid w:val="0070148F"/>
    <w:rsid w:val="00703F36"/>
    <w:rsid w:val="00704FE7"/>
    <w:rsid w:val="0071297E"/>
    <w:rsid w:val="00713255"/>
    <w:rsid w:val="007166C6"/>
    <w:rsid w:val="00717F70"/>
    <w:rsid w:val="00721705"/>
    <w:rsid w:val="007229F0"/>
    <w:rsid w:val="00722B13"/>
    <w:rsid w:val="00723767"/>
    <w:rsid w:val="00726A04"/>
    <w:rsid w:val="00726C9D"/>
    <w:rsid w:val="00732BFF"/>
    <w:rsid w:val="00742271"/>
    <w:rsid w:val="00743F04"/>
    <w:rsid w:val="00745358"/>
    <w:rsid w:val="00746C43"/>
    <w:rsid w:val="00746FD8"/>
    <w:rsid w:val="00752E38"/>
    <w:rsid w:val="0075454F"/>
    <w:rsid w:val="00755109"/>
    <w:rsid w:val="00756623"/>
    <w:rsid w:val="00756C48"/>
    <w:rsid w:val="0076059A"/>
    <w:rsid w:val="00760BDF"/>
    <w:rsid w:val="007660B6"/>
    <w:rsid w:val="00766437"/>
    <w:rsid w:val="00766DBD"/>
    <w:rsid w:val="00767A7C"/>
    <w:rsid w:val="00770745"/>
    <w:rsid w:val="00770FB8"/>
    <w:rsid w:val="007741AA"/>
    <w:rsid w:val="007745DF"/>
    <w:rsid w:val="007745ED"/>
    <w:rsid w:val="00775596"/>
    <w:rsid w:val="0077700F"/>
    <w:rsid w:val="007819B4"/>
    <w:rsid w:val="00784669"/>
    <w:rsid w:val="0078493A"/>
    <w:rsid w:val="00784D8B"/>
    <w:rsid w:val="00787560"/>
    <w:rsid w:val="007921F5"/>
    <w:rsid w:val="00792DCC"/>
    <w:rsid w:val="007958BD"/>
    <w:rsid w:val="007A0E55"/>
    <w:rsid w:val="007A2B32"/>
    <w:rsid w:val="007A2BDC"/>
    <w:rsid w:val="007A53DB"/>
    <w:rsid w:val="007A6856"/>
    <w:rsid w:val="007A77B6"/>
    <w:rsid w:val="007B16DC"/>
    <w:rsid w:val="007B1915"/>
    <w:rsid w:val="007B1AF0"/>
    <w:rsid w:val="007B251B"/>
    <w:rsid w:val="007B2B35"/>
    <w:rsid w:val="007B2EB6"/>
    <w:rsid w:val="007B56A8"/>
    <w:rsid w:val="007B74B8"/>
    <w:rsid w:val="007C288D"/>
    <w:rsid w:val="007C3696"/>
    <w:rsid w:val="007D0B73"/>
    <w:rsid w:val="007D3D42"/>
    <w:rsid w:val="007D4CDF"/>
    <w:rsid w:val="007D5164"/>
    <w:rsid w:val="007D6D27"/>
    <w:rsid w:val="007D736F"/>
    <w:rsid w:val="007E12EE"/>
    <w:rsid w:val="007E2D3F"/>
    <w:rsid w:val="007E36DF"/>
    <w:rsid w:val="007E37FE"/>
    <w:rsid w:val="007E5CF6"/>
    <w:rsid w:val="007E797A"/>
    <w:rsid w:val="007F1406"/>
    <w:rsid w:val="007F23EF"/>
    <w:rsid w:val="007F2705"/>
    <w:rsid w:val="007F31A9"/>
    <w:rsid w:val="007F37D4"/>
    <w:rsid w:val="007F4E28"/>
    <w:rsid w:val="007F6960"/>
    <w:rsid w:val="00800232"/>
    <w:rsid w:val="0080092B"/>
    <w:rsid w:val="00801446"/>
    <w:rsid w:val="0080161E"/>
    <w:rsid w:val="00803123"/>
    <w:rsid w:val="0080370B"/>
    <w:rsid w:val="00804C61"/>
    <w:rsid w:val="0080579A"/>
    <w:rsid w:val="00806E25"/>
    <w:rsid w:val="008071BD"/>
    <w:rsid w:val="00810529"/>
    <w:rsid w:val="00811C33"/>
    <w:rsid w:val="00814944"/>
    <w:rsid w:val="00814A6F"/>
    <w:rsid w:val="0081551B"/>
    <w:rsid w:val="00815A2D"/>
    <w:rsid w:val="0081626D"/>
    <w:rsid w:val="00816C36"/>
    <w:rsid w:val="00817426"/>
    <w:rsid w:val="008219D7"/>
    <w:rsid w:val="0082309C"/>
    <w:rsid w:val="00823899"/>
    <w:rsid w:val="00825573"/>
    <w:rsid w:val="0082628D"/>
    <w:rsid w:val="0082643D"/>
    <w:rsid w:val="008271BF"/>
    <w:rsid w:val="00827658"/>
    <w:rsid w:val="00827A89"/>
    <w:rsid w:val="00827DBC"/>
    <w:rsid w:val="00830F54"/>
    <w:rsid w:val="008319DA"/>
    <w:rsid w:val="00831B64"/>
    <w:rsid w:val="008335D0"/>
    <w:rsid w:val="00833BF1"/>
    <w:rsid w:val="008345EF"/>
    <w:rsid w:val="00834D0C"/>
    <w:rsid w:val="00836C42"/>
    <w:rsid w:val="0084119C"/>
    <w:rsid w:val="00845059"/>
    <w:rsid w:val="008451B7"/>
    <w:rsid w:val="00845B32"/>
    <w:rsid w:val="00852C22"/>
    <w:rsid w:val="00855172"/>
    <w:rsid w:val="00857470"/>
    <w:rsid w:val="00861D55"/>
    <w:rsid w:val="00862AC2"/>
    <w:rsid w:val="00862B60"/>
    <w:rsid w:val="008657D3"/>
    <w:rsid w:val="008663B9"/>
    <w:rsid w:val="00867022"/>
    <w:rsid w:val="00867F40"/>
    <w:rsid w:val="008721C7"/>
    <w:rsid w:val="00872A86"/>
    <w:rsid w:val="008738AD"/>
    <w:rsid w:val="00873985"/>
    <w:rsid w:val="008741B2"/>
    <w:rsid w:val="00875AEE"/>
    <w:rsid w:val="0088010B"/>
    <w:rsid w:val="00881C90"/>
    <w:rsid w:val="00881ED6"/>
    <w:rsid w:val="00883CD4"/>
    <w:rsid w:val="00886E29"/>
    <w:rsid w:val="00887060"/>
    <w:rsid w:val="00887E04"/>
    <w:rsid w:val="0089026F"/>
    <w:rsid w:val="0089085A"/>
    <w:rsid w:val="00890EA6"/>
    <w:rsid w:val="00890EC0"/>
    <w:rsid w:val="00891C9F"/>
    <w:rsid w:val="00891EF4"/>
    <w:rsid w:val="00897B1D"/>
    <w:rsid w:val="00897DBE"/>
    <w:rsid w:val="008A13D9"/>
    <w:rsid w:val="008A3198"/>
    <w:rsid w:val="008A46DB"/>
    <w:rsid w:val="008A4BF4"/>
    <w:rsid w:val="008B07BB"/>
    <w:rsid w:val="008B14BC"/>
    <w:rsid w:val="008B448A"/>
    <w:rsid w:val="008C2B76"/>
    <w:rsid w:val="008C34E8"/>
    <w:rsid w:val="008C3C0E"/>
    <w:rsid w:val="008C4455"/>
    <w:rsid w:val="008C4826"/>
    <w:rsid w:val="008C6591"/>
    <w:rsid w:val="008C7244"/>
    <w:rsid w:val="008D0214"/>
    <w:rsid w:val="008D23CE"/>
    <w:rsid w:val="008D2EC9"/>
    <w:rsid w:val="008D3E98"/>
    <w:rsid w:val="008D514B"/>
    <w:rsid w:val="008D5639"/>
    <w:rsid w:val="008D60A8"/>
    <w:rsid w:val="008D70C3"/>
    <w:rsid w:val="008E01BB"/>
    <w:rsid w:val="008E2763"/>
    <w:rsid w:val="008E2F4A"/>
    <w:rsid w:val="008E4A45"/>
    <w:rsid w:val="008E5F8F"/>
    <w:rsid w:val="008E731A"/>
    <w:rsid w:val="008F062D"/>
    <w:rsid w:val="008F0DF0"/>
    <w:rsid w:val="008F1C93"/>
    <w:rsid w:val="008F1F3F"/>
    <w:rsid w:val="008F5E80"/>
    <w:rsid w:val="008F6389"/>
    <w:rsid w:val="008F6BFC"/>
    <w:rsid w:val="0090189E"/>
    <w:rsid w:val="0090199E"/>
    <w:rsid w:val="00901DB4"/>
    <w:rsid w:val="00904C76"/>
    <w:rsid w:val="009116BC"/>
    <w:rsid w:val="00911EB7"/>
    <w:rsid w:val="009120F6"/>
    <w:rsid w:val="00912581"/>
    <w:rsid w:val="0091575F"/>
    <w:rsid w:val="00915B63"/>
    <w:rsid w:val="00916237"/>
    <w:rsid w:val="00916EB8"/>
    <w:rsid w:val="00920C06"/>
    <w:rsid w:val="0092127D"/>
    <w:rsid w:val="00922BC1"/>
    <w:rsid w:val="0092398B"/>
    <w:rsid w:val="00926A21"/>
    <w:rsid w:val="00926C1F"/>
    <w:rsid w:val="0093603F"/>
    <w:rsid w:val="00937E7B"/>
    <w:rsid w:val="009405C4"/>
    <w:rsid w:val="00940DAF"/>
    <w:rsid w:val="00942C75"/>
    <w:rsid w:val="00944205"/>
    <w:rsid w:val="00944499"/>
    <w:rsid w:val="00944F5B"/>
    <w:rsid w:val="009476C4"/>
    <w:rsid w:val="00953C3A"/>
    <w:rsid w:val="00957FB8"/>
    <w:rsid w:val="00961319"/>
    <w:rsid w:val="00962022"/>
    <w:rsid w:val="00970636"/>
    <w:rsid w:val="00971898"/>
    <w:rsid w:val="0097651A"/>
    <w:rsid w:val="00976661"/>
    <w:rsid w:val="00976800"/>
    <w:rsid w:val="0097687F"/>
    <w:rsid w:val="009773AD"/>
    <w:rsid w:val="009834CD"/>
    <w:rsid w:val="00983C9D"/>
    <w:rsid w:val="009845B4"/>
    <w:rsid w:val="0098469C"/>
    <w:rsid w:val="009854B5"/>
    <w:rsid w:val="009856AD"/>
    <w:rsid w:val="009863D1"/>
    <w:rsid w:val="009916AC"/>
    <w:rsid w:val="00992B79"/>
    <w:rsid w:val="0099367A"/>
    <w:rsid w:val="00994939"/>
    <w:rsid w:val="00996AA8"/>
    <w:rsid w:val="009971A7"/>
    <w:rsid w:val="009977C7"/>
    <w:rsid w:val="009A22DB"/>
    <w:rsid w:val="009A2ED0"/>
    <w:rsid w:val="009A4A3B"/>
    <w:rsid w:val="009A6ABB"/>
    <w:rsid w:val="009A78B2"/>
    <w:rsid w:val="009B008E"/>
    <w:rsid w:val="009B3417"/>
    <w:rsid w:val="009B34E2"/>
    <w:rsid w:val="009B5DA1"/>
    <w:rsid w:val="009B676E"/>
    <w:rsid w:val="009C00CC"/>
    <w:rsid w:val="009C1DBF"/>
    <w:rsid w:val="009C33AE"/>
    <w:rsid w:val="009C6EA3"/>
    <w:rsid w:val="009C763F"/>
    <w:rsid w:val="009C7D9D"/>
    <w:rsid w:val="009D1159"/>
    <w:rsid w:val="009D1479"/>
    <w:rsid w:val="009D21B0"/>
    <w:rsid w:val="009D244C"/>
    <w:rsid w:val="009D2880"/>
    <w:rsid w:val="009D5D4C"/>
    <w:rsid w:val="009E209A"/>
    <w:rsid w:val="009E278D"/>
    <w:rsid w:val="009E325C"/>
    <w:rsid w:val="009E3B81"/>
    <w:rsid w:val="009E4C81"/>
    <w:rsid w:val="009E6139"/>
    <w:rsid w:val="009E67B8"/>
    <w:rsid w:val="009F2ED1"/>
    <w:rsid w:val="009F35CA"/>
    <w:rsid w:val="009F6161"/>
    <w:rsid w:val="009F74C9"/>
    <w:rsid w:val="00A04989"/>
    <w:rsid w:val="00A07543"/>
    <w:rsid w:val="00A07B69"/>
    <w:rsid w:val="00A10872"/>
    <w:rsid w:val="00A13E8E"/>
    <w:rsid w:val="00A159DC"/>
    <w:rsid w:val="00A1775E"/>
    <w:rsid w:val="00A17E41"/>
    <w:rsid w:val="00A206B8"/>
    <w:rsid w:val="00A20CAE"/>
    <w:rsid w:val="00A22A08"/>
    <w:rsid w:val="00A241B7"/>
    <w:rsid w:val="00A2710B"/>
    <w:rsid w:val="00A325C4"/>
    <w:rsid w:val="00A32C1F"/>
    <w:rsid w:val="00A34B21"/>
    <w:rsid w:val="00A365BE"/>
    <w:rsid w:val="00A368DC"/>
    <w:rsid w:val="00A36A26"/>
    <w:rsid w:val="00A4007A"/>
    <w:rsid w:val="00A42E10"/>
    <w:rsid w:val="00A45884"/>
    <w:rsid w:val="00A51F62"/>
    <w:rsid w:val="00A5272E"/>
    <w:rsid w:val="00A537B8"/>
    <w:rsid w:val="00A53A1C"/>
    <w:rsid w:val="00A53ABF"/>
    <w:rsid w:val="00A61749"/>
    <w:rsid w:val="00A63B4C"/>
    <w:rsid w:val="00A64244"/>
    <w:rsid w:val="00A66885"/>
    <w:rsid w:val="00A705EE"/>
    <w:rsid w:val="00A707CA"/>
    <w:rsid w:val="00A71E18"/>
    <w:rsid w:val="00A72351"/>
    <w:rsid w:val="00A73B30"/>
    <w:rsid w:val="00A80C2F"/>
    <w:rsid w:val="00A84ABA"/>
    <w:rsid w:val="00A84BDB"/>
    <w:rsid w:val="00A872F1"/>
    <w:rsid w:val="00A87B11"/>
    <w:rsid w:val="00A90771"/>
    <w:rsid w:val="00A9208F"/>
    <w:rsid w:val="00A94CB4"/>
    <w:rsid w:val="00AA0C53"/>
    <w:rsid w:val="00AA0EBA"/>
    <w:rsid w:val="00AA25E7"/>
    <w:rsid w:val="00AA32CC"/>
    <w:rsid w:val="00AA3562"/>
    <w:rsid w:val="00AA3A7A"/>
    <w:rsid w:val="00AA3F7B"/>
    <w:rsid w:val="00AA467B"/>
    <w:rsid w:val="00AA529A"/>
    <w:rsid w:val="00AA5FBB"/>
    <w:rsid w:val="00AB0588"/>
    <w:rsid w:val="00AB1A47"/>
    <w:rsid w:val="00AB29AA"/>
    <w:rsid w:val="00AB373D"/>
    <w:rsid w:val="00AB3BA9"/>
    <w:rsid w:val="00AB3E09"/>
    <w:rsid w:val="00AB42C3"/>
    <w:rsid w:val="00AC01A4"/>
    <w:rsid w:val="00AC0308"/>
    <w:rsid w:val="00AC1793"/>
    <w:rsid w:val="00AC398E"/>
    <w:rsid w:val="00AC5CAE"/>
    <w:rsid w:val="00AD071A"/>
    <w:rsid w:val="00AD2632"/>
    <w:rsid w:val="00AD43DB"/>
    <w:rsid w:val="00AD56AB"/>
    <w:rsid w:val="00AD6216"/>
    <w:rsid w:val="00AE1CAA"/>
    <w:rsid w:val="00AE358F"/>
    <w:rsid w:val="00AE3CA5"/>
    <w:rsid w:val="00AE6EBD"/>
    <w:rsid w:val="00AF1206"/>
    <w:rsid w:val="00AF2A6B"/>
    <w:rsid w:val="00AF4382"/>
    <w:rsid w:val="00AF5931"/>
    <w:rsid w:val="00AF5A2C"/>
    <w:rsid w:val="00B00CBD"/>
    <w:rsid w:val="00B13920"/>
    <w:rsid w:val="00B13E07"/>
    <w:rsid w:val="00B14A47"/>
    <w:rsid w:val="00B14EA8"/>
    <w:rsid w:val="00B15580"/>
    <w:rsid w:val="00B166F3"/>
    <w:rsid w:val="00B23C3C"/>
    <w:rsid w:val="00B26951"/>
    <w:rsid w:val="00B27E41"/>
    <w:rsid w:val="00B30425"/>
    <w:rsid w:val="00B306B3"/>
    <w:rsid w:val="00B30E21"/>
    <w:rsid w:val="00B32E64"/>
    <w:rsid w:val="00B352EC"/>
    <w:rsid w:val="00B36151"/>
    <w:rsid w:val="00B435B7"/>
    <w:rsid w:val="00B52FB0"/>
    <w:rsid w:val="00B53E0C"/>
    <w:rsid w:val="00B55ABF"/>
    <w:rsid w:val="00B57247"/>
    <w:rsid w:val="00B60CC8"/>
    <w:rsid w:val="00B616D5"/>
    <w:rsid w:val="00B61F87"/>
    <w:rsid w:val="00B64D3B"/>
    <w:rsid w:val="00B65B63"/>
    <w:rsid w:val="00B70E2E"/>
    <w:rsid w:val="00B71096"/>
    <w:rsid w:val="00B71C67"/>
    <w:rsid w:val="00B72102"/>
    <w:rsid w:val="00B72800"/>
    <w:rsid w:val="00B74644"/>
    <w:rsid w:val="00B75DF2"/>
    <w:rsid w:val="00B76C38"/>
    <w:rsid w:val="00B77004"/>
    <w:rsid w:val="00B81B43"/>
    <w:rsid w:val="00B835A1"/>
    <w:rsid w:val="00B84F70"/>
    <w:rsid w:val="00B85CFB"/>
    <w:rsid w:val="00B87286"/>
    <w:rsid w:val="00B90364"/>
    <w:rsid w:val="00B90FC4"/>
    <w:rsid w:val="00B935D6"/>
    <w:rsid w:val="00B954E7"/>
    <w:rsid w:val="00B978D3"/>
    <w:rsid w:val="00BA1078"/>
    <w:rsid w:val="00BA2790"/>
    <w:rsid w:val="00BA40B2"/>
    <w:rsid w:val="00BA628D"/>
    <w:rsid w:val="00BA7B8D"/>
    <w:rsid w:val="00BB22AC"/>
    <w:rsid w:val="00BB2B1D"/>
    <w:rsid w:val="00BB53A3"/>
    <w:rsid w:val="00BB53DC"/>
    <w:rsid w:val="00BB5AC0"/>
    <w:rsid w:val="00BC3CE8"/>
    <w:rsid w:val="00BC4769"/>
    <w:rsid w:val="00BC6939"/>
    <w:rsid w:val="00BD1BB9"/>
    <w:rsid w:val="00BD2966"/>
    <w:rsid w:val="00BD512E"/>
    <w:rsid w:val="00BD7875"/>
    <w:rsid w:val="00BE012B"/>
    <w:rsid w:val="00BE2F2A"/>
    <w:rsid w:val="00BE5AE3"/>
    <w:rsid w:val="00BE5C29"/>
    <w:rsid w:val="00BE69AB"/>
    <w:rsid w:val="00BF1181"/>
    <w:rsid w:val="00BF7263"/>
    <w:rsid w:val="00BF7CE7"/>
    <w:rsid w:val="00C02376"/>
    <w:rsid w:val="00C02A3B"/>
    <w:rsid w:val="00C02C96"/>
    <w:rsid w:val="00C0317E"/>
    <w:rsid w:val="00C034E5"/>
    <w:rsid w:val="00C04645"/>
    <w:rsid w:val="00C06306"/>
    <w:rsid w:val="00C06D1F"/>
    <w:rsid w:val="00C11F0E"/>
    <w:rsid w:val="00C22CF2"/>
    <w:rsid w:val="00C27B09"/>
    <w:rsid w:val="00C3041E"/>
    <w:rsid w:val="00C37AAE"/>
    <w:rsid w:val="00C37E21"/>
    <w:rsid w:val="00C40D2C"/>
    <w:rsid w:val="00C41006"/>
    <w:rsid w:val="00C415D5"/>
    <w:rsid w:val="00C41D18"/>
    <w:rsid w:val="00C4200F"/>
    <w:rsid w:val="00C42822"/>
    <w:rsid w:val="00C428C0"/>
    <w:rsid w:val="00C433BF"/>
    <w:rsid w:val="00C43620"/>
    <w:rsid w:val="00C4536A"/>
    <w:rsid w:val="00C453C0"/>
    <w:rsid w:val="00C553C5"/>
    <w:rsid w:val="00C60082"/>
    <w:rsid w:val="00C60332"/>
    <w:rsid w:val="00C608B2"/>
    <w:rsid w:val="00C6103C"/>
    <w:rsid w:val="00C61D1D"/>
    <w:rsid w:val="00C63584"/>
    <w:rsid w:val="00C63B71"/>
    <w:rsid w:val="00C6445C"/>
    <w:rsid w:val="00C64B3D"/>
    <w:rsid w:val="00C650DA"/>
    <w:rsid w:val="00C65C67"/>
    <w:rsid w:val="00C67D0A"/>
    <w:rsid w:val="00C71150"/>
    <w:rsid w:val="00C747A5"/>
    <w:rsid w:val="00C75D52"/>
    <w:rsid w:val="00C76371"/>
    <w:rsid w:val="00C81995"/>
    <w:rsid w:val="00C821A3"/>
    <w:rsid w:val="00C839E2"/>
    <w:rsid w:val="00C8692E"/>
    <w:rsid w:val="00C90ADB"/>
    <w:rsid w:val="00C90AE6"/>
    <w:rsid w:val="00C90C74"/>
    <w:rsid w:val="00C9298D"/>
    <w:rsid w:val="00C937D3"/>
    <w:rsid w:val="00C960E4"/>
    <w:rsid w:val="00C96248"/>
    <w:rsid w:val="00C96290"/>
    <w:rsid w:val="00CA0F4E"/>
    <w:rsid w:val="00CA30E5"/>
    <w:rsid w:val="00CA494A"/>
    <w:rsid w:val="00CA6175"/>
    <w:rsid w:val="00CA6A19"/>
    <w:rsid w:val="00CB047D"/>
    <w:rsid w:val="00CB0EDF"/>
    <w:rsid w:val="00CB1896"/>
    <w:rsid w:val="00CC189C"/>
    <w:rsid w:val="00CC4968"/>
    <w:rsid w:val="00CD07DE"/>
    <w:rsid w:val="00CD3236"/>
    <w:rsid w:val="00CD4938"/>
    <w:rsid w:val="00CD4998"/>
    <w:rsid w:val="00CD6D43"/>
    <w:rsid w:val="00CE04B0"/>
    <w:rsid w:val="00CE772E"/>
    <w:rsid w:val="00CF04FE"/>
    <w:rsid w:val="00CF0D33"/>
    <w:rsid w:val="00CF2C0F"/>
    <w:rsid w:val="00CF3951"/>
    <w:rsid w:val="00CF4370"/>
    <w:rsid w:val="00CF5B17"/>
    <w:rsid w:val="00CF6A37"/>
    <w:rsid w:val="00CF7293"/>
    <w:rsid w:val="00D006CB"/>
    <w:rsid w:val="00D00CCC"/>
    <w:rsid w:val="00D0375A"/>
    <w:rsid w:val="00D0454E"/>
    <w:rsid w:val="00D05136"/>
    <w:rsid w:val="00D07862"/>
    <w:rsid w:val="00D103EA"/>
    <w:rsid w:val="00D10CEC"/>
    <w:rsid w:val="00D10DFF"/>
    <w:rsid w:val="00D12606"/>
    <w:rsid w:val="00D16978"/>
    <w:rsid w:val="00D16EC6"/>
    <w:rsid w:val="00D20A41"/>
    <w:rsid w:val="00D256BF"/>
    <w:rsid w:val="00D27473"/>
    <w:rsid w:val="00D276A7"/>
    <w:rsid w:val="00D27876"/>
    <w:rsid w:val="00D305B7"/>
    <w:rsid w:val="00D32EFE"/>
    <w:rsid w:val="00D33F3F"/>
    <w:rsid w:val="00D3689F"/>
    <w:rsid w:val="00D3690C"/>
    <w:rsid w:val="00D36A7A"/>
    <w:rsid w:val="00D443E9"/>
    <w:rsid w:val="00D622CD"/>
    <w:rsid w:val="00D62A13"/>
    <w:rsid w:val="00D64370"/>
    <w:rsid w:val="00D6626C"/>
    <w:rsid w:val="00D6739F"/>
    <w:rsid w:val="00D75C44"/>
    <w:rsid w:val="00D81E95"/>
    <w:rsid w:val="00D8371D"/>
    <w:rsid w:val="00D8430A"/>
    <w:rsid w:val="00D85939"/>
    <w:rsid w:val="00D86E1D"/>
    <w:rsid w:val="00D87414"/>
    <w:rsid w:val="00D92926"/>
    <w:rsid w:val="00D9299E"/>
    <w:rsid w:val="00D93A82"/>
    <w:rsid w:val="00D9655B"/>
    <w:rsid w:val="00D97CB1"/>
    <w:rsid w:val="00DA0593"/>
    <w:rsid w:val="00DA29AF"/>
    <w:rsid w:val="00DA600A"/>
    <w:rsid w:val="00DA746D"/>
    <w:rsid w:val="00DB0166"/>
    <w:rsid w:val="00DB096C"/>
    <w:rsid w:val="00DB0EA5"/>
    <w:rsid w:val="00DB13E8"/>
    <w:rsid w:val="00DB1B01"/>
    <w:rsid w:val="00DB40C6"/>
    <w:rsid w:val="00DC2AB9"/>
    <w:rsid w:val="00DC5A49"/>
    <w:rsid w:val="00DC6A52"/>
    <w:rsid w:val="00DD5D0F"/>
    <w:rsid w:val="00DD6BE2"/>
    <w:rsid w:val="00DE1B0B"/>
    <w:rsid w:val="00DE470F"/>
    <w:rsid w:val="00DE7C15"/>
    <w:rsid w:val="00DF2950"/>
    <w:rsid w:val="00DF4268"/>
    <w:rsid w:val="00DF444E"/>
    <w:rsid w:val="00DF5125"/>
    <w:rsid w:val="00DF7A40"/>
    <w:rsid w:val="00E025DE"/>
    <w:rsid w:val="00E02CBD"/>
    <w:rsid w:val="00E0593F"/>
    <w:rsid w:val="00E06453"/>
    <w:rsid w:val="00E0778F"/>
    <w:rsid w:val="00E07C0A"/>
    <w:rsid w:val="00E1078F"/>
    <w:rsid w:val="00E13AC9"/>
    <w:rsid w:val="00E14439"/>
    <w:rsid w:val="00E20DD4"/>
    <w:rsid w:val="00E2192A"/>
    <w:rsid w:val="00E222A9"/>
    <w:rsid w:val="00E2336A"/>
    <w:rsid w:val="00E2483B"/>
    <w:rsid w:val="00E253FF"/>
    <w:rsid w:val="00E33CF9"/>
    <w:rsid w:val="00E3424C"/>
    <w:rsid w:val="00E367B4"/>
    <w:rsid w:val="00E40BC3"/>
    <w:rsid w:val="00E42BF7"/>
    <w:rsid w:val="00E446FF"/>
    <w:rsid w:val="00E453D2"/>
    <w:rsid w:val="00E45B5D"/>
    <w:rsid w:val="00E47231"/>
    <w:rsid w:val="00E50ECD"/>
    <w:rsid w:val="00E52D5C"/>
    <w:rsid w:val="00E5580B"/>
    <w:rsid w:val="00E5668E"/>
    <w:rsid w:val="00E57897"/>
    <w:rsid w:val="00E63D91"/>
    <w:rsid w:val="00E64752"/>
    <w:rsid w:val="00E67A58"/>
    <w:rsid w:val="00E70435"/>
    <w:rsid w:val="00E7217C"/>
    <w:rsid w:val="00E75BA7"/>
    <w:rsid w:val="00E76942"/>
    <w:rsid w:val="00E76C43"/>
    <w:rsid w:val="00E846D9"/>
    <w:rsid w:val="00E84750"/>
    <w:rsid w:val="00E87FDA"/>
    <w:rsid w:val="00E92C05"/>
    <w:rsid w:val="00E9571C"/>
    <w:rsid w:val="00E97878"/>
    <w:rsid w:val="00E97BA6"/>
    <w:rsid w:val="00EA0A46"/>
    <w:rsid w:val="00EA2BCF"/>
    <w:rsid w:val="00EA4A64"/>
    <w:rsid w:val="00EA6FC5"/>
    <w:rsid w:val="00EB054A"/>
    <w:rsid w:val="00EB2C35"/>
    <w:rsid w:val="00EB5182"/>
    <w:rsid w:val="00EB67D6"/>
    <w:rsid w:val="00EB6881"/>
    <w:rsid w:val="00EB6CB9"/>
    <w:rsid w:val="00ED045C"/>
    <w:rsid w:val="00ED1425"/>
    <w:rsid w:val="00ED2FDC"/>
    <w:rsid w:val="00ED4646"/>
    <w:rsid w:val="00ED4C55"/>
    <w:rsid w:val="00ED6FB8"/>
    <w:rsid w:val="00ED7429"/>
    <w:rsid w:val="00EE0175"/>
    <w:rsid w:val="00EE13F7"/>
    <w:rsid w:val="00EE4588"/>
    <w:rsid w:val="00EE53B1"/>
    <w:rsid w:val="00EE78A9"/>
    <w:rsid w:val="00EF1F02"/>
    <w:rsid w:val="00EF3A13"/>
    <w:rsid w:val="00EF661C"/>
    <w:rsid w:val="00F0056F"/>
    <w:rsid w:val="00F0077F"/>
    <w:rsid w:val="00F05EDF"/>
    <w:rsid w:val="00F05F8A"/>
    <w:rsid w:val="00F060C9"/>
    <w:rsid w:val="00F07530"/>
    <w:rsid w:val="00F07D9C"/>
    <w:rsid w:val="00F1159F"/>
    <w:rsid w:val="00F129AE"/>
    <w:rsid w:val="00F12BCB"/>
    <w:rsid w:val="00F13336"/>
    <w:rsid w:val="00F14A82"/>
    <w:rsid w:val="00F210EC"/>
    <w:rsid w:val="00F217A7"/>
    <w:rsid w:val="00F23ECC"/>
    <w:rsid w:val="00F24523"/>
    <w:rsid w:val="00F24F26"/>
    <w:rsid w:val="00F259B9"/>
    <w:rsid w:val="00F3542E"/>
    <w:rsid w:val="00F37283"/>
    <w:rsid w:val="00F41333"/>
    <w:rsid w:val="00F43FF6"/>
    <w:rsid w:val="00F4540F"/>
    <w:rsid w:val="00F47F91"/>
    <w:rsid w:val="00F502F0"/>
    <w:rsid w:val="00F530F5"/>
    <w:rsid w:val="00F54CB4"/>
    <w:rsid w:val="00F55AD3"/>
    <w:rsid w:val="00F644D0"/>
    <w:rsid w:val="00F65E94"/>
    <w:rsid w:val="00F70DD8"/>
    <w:rsid w:val="00F76096"/>
    <w:rsid w:val="00F81697"/>
    <w:rsid w:val="00F855F4"/>
    <w:rsid w:val="00F857C1"/>
    <w:rsid w:val="00F909B1"/>
    <w:rsid w:val="00F93A7C"/>
    <w:rsid w:val="00FA13F0"/>
    <w:rsid w:val="00FA1B88"/>
    <w:rsid w:val="00FA2410"/>
    <w:rsid w:val="00FA2DDA"/>
    <w:rsid w:val="00FA3253"/>
    <w:rsid w:val="00FA36F5"/>
    <w:rsid w:val="00FA75BE"/>
    <w:rsid w:val="00FA7D84"/>
    <w:rsid w:val="00FB1CEF"/>
    <w:rsid w:val="00FB3834"/>
    <w:rsid w:val="00FB5E3A"/>
    <w:rsid w:val="00FC1E4E"/>
    <w:rsid w:val="00FC2FD3"/>
    <w:rsid w:val="00FC3AF6"/>
    <w:rsid w:val="00FC416F"/>
    <w:rsid w:val="00FD2C9D"/>
    <w:rsid w:val="00FD3E78"/>
    <w:rsid w:val="00FD5B13"/>
    <w:rsid w:val="00FD5BD5"/>
    <w:rsid w:val="00FD5CE2"/>
    <w:rsid w:val="00FE12CD"/>
    <w:rsid w:val="00FE2B0C"/>
    <w:rsid w:val="00FE2DBF"/>
    <w:rsid w:val="00FE508D"/>
    <w:rsid w:val="00FE521C"/>
    <w:rsid w:val="00FE5451"/>
    <w:rsid w:val="00FE5B20"/>
    <w:rsid w:val="00FF014F"/>
    <w:rsid w:val="00FF041E"/>
    <w:rsid w:val="00FF1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6DA10"/>
  <w15:docId w15:val="{DA13F5AC-5A5C-4EE0-AA84-F20DE2687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D2C"/>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D051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6C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0907EE"/>
    <w:pPr>
      <w:ind w:left="720"/>
      <w:contextualSpacing/>
    </w:pPr>
  </w:style>
  <w:style w:type="character" w:styleId="CommentReference">
    <w:name w:val="annotation reference"/>
    <w:basedOn w:val="DefaultParagraphFont"/>
    <w:uiPriority w:val="99"/>
    <w:semiHidden/>
    <w:unhideWhenUsed/>
    <w:rsid w:val="00BE012B"/>
    <w:rPr>
      <w:sz w:val="16"/>
      <w:szCs w:val="16"/>
    </w:rPr>
  </w:style>
  <w:style w:type="paragraph" w:styleId="CommentText">
    <w:name w:val="annotation text"/>
    <w:basedOn w:val="Normal"/>
    <w:link w:val="CommentTextChar"/>
    <w:uiPriority w:val="99"/>
    <w:semiHidden/>
    <w:unhideWhenUsed/>
    <w:rsid w:val="00BE012B"/>
    <w:pPr>
      <w:spacing w:line="240" w:lineRule="auto"/>
    </w:pPr>
    <w:rPr>
      <w:sz w:val="20"/>
      <w:szCs w:val="20"/>
    </w:rPr>
  </w:style>
  <w:style w:type="character" w:customStyle="1" w:styleId="CommentTextChar">
    <w:name w:val="Comment Text Char"/>
    <w:basedOn w:val="DefaultParagraphFont"/>
    <w:link w:val="CommentText"/>
    <w:uiPriority w:val="99"/>
    <w:semiHidden/>
    <w:rsid w:val="00BE012B"/>
    <w:rPr>
      <w:sz w:val="20"/>
      <w:szCs w:val="20"/>
    </w:rPr>
  </w:style>
  <w:style w:type="paragraph" w:styleId="CommentSubject">
    <w:name w:val="annotation subject"/>
    <w:basedOn w:val="CommentText"/>
    <w:next w:val="CommentText"/>
    <w:link w:val="CommentSubjectChar"/>
    <w:uiPriority w:val="99"/>
    <w:semiHidden/>
    <w:unhideWhenUsed/>
    <w:rsid w:val="00BE012B"/>
    <w:rPr>
      <w:b/>
      <w:bCs/>
    </w:rPr>
  </w:style>
  <w:style w:type="character" w:customStyle="1" w:styleId="CommentSubjectChar">
    <w:name w:val="Comment Subject Char"/>
    <w:basedOn w:val="CommentTextChar"/>
    <w:link w:val="CommentSubject"/>
    <w:uiPriority w:val="99"/>
    <w:semiHidden/>
    <w:rsid w:val="00BE012B"/>
    <w:rPr>
      <w:b/>
      <w:bCs/>
      <w:sz w:val="20"/>
      <w:szCs w:val="20"/>
    </w:rPr>
  </w:style>
  <w:style w:type="paragraph" w:styleId="BalloonText">
    <w:name w:val="Balloon Text"/>
    <w:basedOn w:val="Normal"/>
    <w:link w:val="BalloonTextChar"/>
    <w:uiPriority w:val="99"/>
    <w:semiHidden/>
    <w:unhideWhenUsed/>
    <w:rsid w:val="00BE01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2B"/>
    <w:rPr>
      <w:rFonts w:ascii="Segoe UI" w:hAnsi="Segoe UI" w:cs="Segoe UI"/>
      <w:sz w:val="18"/>
      <w:szCs w:val="18"/>
    </w:rPr>
  </w:style>
  <w:style w:type="table" w:styleId="TableGrid">
    <w:name w:val="Table Grid"/>
    <w:basedOn w:val="TableNormal"/>
    <w:uiPriority w:val="39"/>
    <w:rsid w:val="000E1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2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9AA"/>
  </w:style>
  <w:style w:type="paragraph" w:styleId="Footer">
    <w:name w:val="footer"/>
    <w:basedOn w:val="Normal"/>
    <w:link w:val="FooterChar"/>
    <w:uiPriority w:val="99"/>
    <w:unhideWhenUsed/>
    <w:rsid w:val="00AB2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9AA"/>
  </w:style>
  <w:style w:type="paragraph" w:styleId="Caption">
    <w:name w:val="caption"/>
    <w:basedOn w:val="Normal"/>
    <w:next w:val="Normal"/>
    <w:link w:val="CaptionChar"/>
    <w:uiPriority w:val="35"/>
    <w:unhideWhenUsed/>
    <w:qFormat/>
    <w:rsid w:val="00AB29A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B6881"/>
    <w:rPr>
      <w:color w:val="808080"/>
    </w:rPr>
  </w:style>
  <w:style w:type="character" w:customStyle="1" w:styleId="Heading1Char">
    <w:name w:val="Heading 1 Char"/>
    <w:basedOn w:val="DefaultParagraphFont"/>
    <w:link w:val="Heading1"/>
    <w:uiPriority w:val="9"/>
    <w:rsid w:val="00C40D2C"/>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D0513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D6D43"/>
    <w:pPr>
      <w:outlineLvl w:val="9"/>
    </w:pPr>
  </w:style>
  <w:style w:type="paragraph" w:styleId="TOC1">
    <w:name w:val="toc 1"/>
    <w:basedOn w:val="Normal"/>
    <w:next w:val="Normal"/>
    <w:autoRedefine/>
    <w:uiPriority w:val="39"/>
    <w:unhideWhenUsed/>
    <w:rsid w:val="00CD6D43"/>
    <w:pPr>
      <w:tabs>
        <w:tab w:val="right" w:leader="dot" w:pos="7927"/>
      </w:tabs>
      <w:spacing w:after="100"/>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563160"/>
    <w:pPr>
      <w:tabs>
        <w:tab w:val="left" w:pos="660"/>
        <w:tab w:val="right" w:leader="dot" w:pos="7927"/>
      </w:tabs>
      <w:spacing w:after="100"/>
      <w:ind w:left="851"/>
    </w:pPr>
    <w:rPr>
      <w:rFonts w:ascii="Times New Roman" w:hAnsi="Times New Roman" w:cs="Times New Roman"/>
      <w:b/>
      <w:bCs/>
      <w:noProof/>
      <w:sz w:val="24"/>
      <w:szCs w:val="24"/>
      <w:lang w:val="id-ID"/>
    </w:rPr>
  </w:style>
  <w:style w:type="character" w:styleId="Hyperlink">
    <w:name w:val="Hyperlink"/>
    <w:basedOn w:val="DefaultParagraphFont"/>
    <w:uiPriority w:val="99"/>
    <w:unhideWhenUsed/>
    <w:rsid w:val="00CD6D43"/>
    <w:rPr>
      <w:color w:val="0563C1" w:themeColor="hyperlink"/>
      <w:u w:val="single"/>
    </w:rPr>
  </w:style>
  <w:style w:type="paragraph" w:styleId="TableofFigures">
    <w:name w:val="table of figures"/>
    <w:basedOn w:val="Normal"/>
    <w:next w:val="Normal"/>
    <w:uiPriority w:val="99"/>
    <w:unhideWhenUsed/>
    <w:rsid w:val="00C0317E"/>
    <w:pPr>
      <w:spacing w:after="0"/>
    </w:pPr>
  </w:style>
  <w:style w:type="character" w:customStyle="1" w:styleId="Heading3Char">
    <w:name w:val="Heading 3 Char"/>
    <w:basedOn w:val="DefaultParagraphFont"/>
    <w:link w:val="Heading3"/>
    <w:uiPriority w:val="9"/>
    <w:rsid w:val="006C6CB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63160"/>
    <w:pPr>
      <w:tabs>
        <w:tab w:val="left" w:pos="880"/>
        <w:tab w:val="right" w:leader="dot" w:pos="7927"/>
      </w:tabs>
      <w:spacing w:after="100"/>
      <w:ind w:left="993"/>
    </w:pPr>
  </w:style>
  <w:style w:type="character" w:styleId="FollowedHyperlink">
    <w:name w:val="FollowedHyperlink"/>
    <w:basedOn w:val="DefaultParagraphFont"/>
    <w:uiPriority w:val="99"/>
    <w:semiHidden/>
    <w:unhideWhenUsed/>
    <w:rsid w:val="00F41333"/>
    <w:rPr>
      <w:color w:val="954F72"/>
      <w:u w:val="single"/>
    </w:rPr>
  </w:style>
  <w:style w:type="paragraph" w:customStyle="1" w:styleId="msonormal0">
    <w:name w:val="msonormal"/>
    <w:basedOn w:val="Normal"/>
    <w:rsid w:val="00F4133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F41333"/>
    <w:pPr>
      <w:spacing w:before="100" w:beforeAutospacing="1" w:after="100" w:afterAutospacing="1" w:line="240" w:lineRule="auto"/>
    </w:pPr>
    <w:rPr>
      <w:rFonts w:ascii="Times New Roman" w:eastAsia="Times New Roman" w:hAnsi="Times New Roman" w:cs="Times New Roman"/>
      <w:sz w:val="20"/>
      <w:szCs w:val="20"/>
      <w:lang w:val="en-ID" w:eastAsia="en-ID"/>
    </w:rPr>
  </w:style>
  <w:style w:type="paragraph" w:customStyle="1" w:styleId="xl66">
    <w:name w:val="xl66"/>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ID" w:eastAsia="en-ID"/>
    </w:rPr>
  </w:style>
  <w:style w:type="paragraph" w:customStyle="1" w:styleId="xl67">
    <w:name w:val="xl67"/>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ID" w:eastAsia="en-ID"/>
    </w:rPr>
  </w:style>
  <w:style w:type="paragraph" w:customStyle="1" w:styleId="xl68">
    <w:name w:val="xl68"/>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ID" w:eastAsia="en-ID"/>
    </w:rPr>
  </w:style>
  <w:style w:type="paragraph" w:customStyle="1" w:styleId="xl69">
    <w:name w:val="xl69"/>
    <w:basedOn w:val="Normal"/>
    <w:rsid w:val="00F41333"/>
    <w:pPr>
      <w:spacing w:before="100" w:beforeAutospacing="1" w:after="100" w:afterAutospacing="1" w:line="240" w:lineRule="auto"/>
    </w:pPr>
    <w:rPr>
      <w:rFonts w:ascii="Times New Roman" w:eastAsia="Times New Roman" w:hAnsi="Times New Roman" w:cs="Times New Roman"/>
      <w:sz w:val="18"/>
      <w:szCs w:val="18"/>
      <w:lang w:val="en-ID" w:eastAsia="en-ID"/>
    </w:rPr>
  </w:style>
  <w:style w:type="paragraph" w:customStyle="1" w:styleId="xl70">
    <w:name w:val="xl70"/>
    <w:basedOn w:val="Normal"/>
    <w:rsid w:val="00F41333"/>
    <w:pPr>
      <w:spacing w:before="100" w:beforeAutospacing="1" w:after="100" w:afterAutospacing="1" w:line="240" w:lineRule="auto"/>
    </w:pPr>
    <w:rPr>
      <w:rFonts w:ascii="Times New Roman" w:eastAsia="Times New Roman" w:hAnsi="Times New Roman" w:cs="Times New Roman"/>
      <w:sz w:val="20"/>
      <w:szCs w:val="20"/>
      <w:lang w:val="en-ID" w:eastAsia="en-ID"/>
    </w:rPr>
  </w:style>
  <w:style w:type="paragraph" w:customStyle="1" w:styleId="xl71">
    <w:name w:val="xl71"/>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72">
    <w:name w:val="xl72"/>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ID" w:eastAsia="en-ID"/>
    </w:rPr>
  </w:style>
  <w:style w:type="paragraph" w:customStyle="1" w:styleId="xl73">
    <w:name w:val="xl73"/>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74">
    <w:name w:val="xl74"/>
    <w:basedOn w:val="Normal"/>
    <w:rsid w:val="00F413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Bab1Head2">
    <w:name w:val="Bab 1 Head 2"/>
    <w:basedOn w:val="Heading2"/>
    <w:next w:val="Heading2"/>
    <w:link w:val="Bab1Head2Char"/>
    <w:qFormat/>
    <w:rsid w:val="005831A5"/>
    <w:pPr>
      <w:numPr>
        <w:numId w:val="35"/>
      </w:numPr>
      <w:spacing w:line="480" w:lineRule="auto"/>
    </w:pPr>
    <w:rPr>
      <w:rFonts w:ascii="Times New Roman" w:hAnsi="Times New Roman"/>
      <w:b/>
      <w:bCs/>
      <w:color w:val="auto"/>
      <w:sz w:val="24"/>
      <w:lang w:val="en-ID"/>
    </w:rPr>
  </w:style>
  <w:style w:type="character" w:customStyle="1" w:styleId="Bab1Head2Char">
    <w:name w:val="Bab 1 Head 2 Char"/>
    <w:basedOn w:val="DefaultParagraphFont"/>
    <w:link w:val="Bab1Head2"/>
    <w:rsid w:val="005831A5"/>
    <w:rPr>
      <w:rFonts w:ascii="Times New Roman" w:eastAsiaTheme="majorEastAsia" w:hAnsi="Times New Roman" w:cstheme="majorBidi"/>
      <w:b/>
      <w:bCs/>
      <w:sz w:val="24"/>
      <w:szCs w:val="26"/>
      <w:lang w:val="en-ID"/>
    </w:rPr>
  </w:style>
  <w:style w:type="character" w:customStyle="1" w:styleId="ListParagraphChar">
    <w:name w:val="List Paragraph Char"/>
    <w:aliases w:val="Body of text Char,List Paragraph1 Char"/>
    <w:link w:val="ListParagraph"/>
    <w:uiPriority w:val="34"/>
    <w:rsid w:val="000846D5"/>
  </w:style>
  <w:style w:type="paragraph" w:customStyle="1" w:styleId="Style1">
    <w:name w:val="Style1"/>
    <w:basedOn w:val="Caption"/>
    <w:link w:val="Style1Char"/>
    <w:qFormat/>
    <w:rsid w:val="00AA5FBB"/>
    <w:pPr>
      <w:jc w:val="center"/>
    </w:pPr>
    <w:rPr>
      <w:rFonts w:ascii="Times New Roman" w:hAnsi="Times New Roman" w:cs="Times New Roman"/>
      <w:b/>
      <w:bCs/>
      <w:i w:val="0"/>
      <w:iCs w:val="0"/>
      <w:color w:val="auto"/>
      <w:sz w:val="24"/>
      <w:szCs w:val="24"/>
    </w:rPr>
  </w:style>
  <w:style w:type="character" w:customStyle="1" w:styleId="CaptionChar">
    <w:name w:val="Caption Char"/>
    <w:basedOn w:val="DefaultParagraphFont"/>
    <w:link w:val="Caption"/>
    <w:uiPriority w:val="35"/>
    <w:rsid w:val="00AA5FBB"/>
    <w:rPr>
      <w:i/>
      <w:iCs/>
      <w:color w:val="44546A" w:themeColor="text2"/>
      <w:sz w:val="18"/>
      <w:szCs w:val="18"/>
    </w:rPr>
  </w:style>
  <w:style w:type="character" w:customStyle="1" w:styleId="Style1Char">
    <w:name w:val="Style1 Char"/>
    <w:basedOn w:val="CaptionChar"/>
    <w:link w:val="Style1"/>
    <w:rsid w:val="00AA5FBB"/>
    <w:rPr>
      <w:rFonts w:ascii="Times New Roman" w:hAnsi="Times New Roman" w:cs="Times New Roman"/>
      <w:b/>
      <w:bCs/>
      <w:i w:val="0"/>
      <w:iCs w:val="0"/>
      <w:color w:val="44546A" w:themeColor="text2"/>
      <w:sz w:val="24"/>
      <w:szCs w:val="24"/>
    </w:rPr>
  </w:style>
  <w:style w:type="paragraph" w:customStyle="1" w:styleId="LAMPIRAN">
    <w:name w:val="LAMPIRAN"/>
    <w:basedOn w:val="Style1"/>
    <w:link w:val="LAMPIRANChar"/>
    <w:qFormat/>
    <w:rsid w:val="00AA5FBB"/>
  </w:style>
  <w:style w:type="character" w:customStyle="1" w:styleId="LAMPIRANChar">
    <w:name w:val="LAMPIRAN Char"/>
    <w:basedOn w:val="Style1Char"/>
    <w:link w:val="LAMPIRAN"/>
    <w:rsid w:val="00AA5FBB"/>
    <w:rPr>
      <w:rFonts w:ascii="Times New Roman" w:hAnsi="Times New Roman" w:cs="Times New Roman"/>
      <w:b/>
      <w:bCs/>
      <w:i w:val="0"/>
      <w:iCs w:val="0"/>
      <w:color w:val="44546A" w:themeColor="text2"/>
      <w:sz w:val="24"/>
      <w:szCs w:val="24"/>
    </w:rPr>
  </w:style>
  <w:style w:type="numbering" w:customStyle="1" w:styleId="NoList1">
    <w:name w:val="No List1"/>
    <w:next w:val="NoList"/>
    <w:uiPriority w:val="99"/>
    <w:semiHidden/>
    <w:unhideWhenUsed/>
    <w:rsid w:val="00FD5BD5"/>
  </w:style>
  <w:style w:type="paragraph" w:customStyle="1" w:styleId="xl63">
    <w:name w:val="xl63"/>
    <w:basedOn w:val="Normal"/>
    <w:rsid w:val="00FD5BD5"/>
    <w:pPr>
      <w:spacing w:before="100" w:beforeAutospacing="1" w:after="100" w:afterAutospacing="1" w:line="240" w:lineRule="auto"/>
    </w:pPr>
    <w:rPr>
      <w:rFonts w:ascii="Times New Roman" w:eastAsia="Times New Roman" w:hAnsi="Times New Roman" w:cs="Times New Roman"/>
      <w:sz w:val="20"/>
      <w:szCs w:val="20"/>
      <w:lang w:val="en-ID" w:eastAsia="en-ID"/>
    </w:rPr>
  </w:style>
  <w:style w:type="paragraph" w:customStyle="1" w:styleId="xl64">
    <w:name w:val="xl64"/>
    <w:basedOn w:val="Normal"/>
    <w:rsid w:val="00FD5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8142851">
      <w:bodyDiv w:val="1"/>
      <w:marLeft w:val="0"/>
      <w:marRight w:val="0"/>
      <w:marTop w:val="0"/>
      <w:marBottom w:val="0"/>
      <w:divBdr>
        <w:top w:val="none" w:sz="0" w:space="0" w:color="auto"/>
        <w:left w:val="none" w:sz="0" w:space="0" w:color="auto"/>
        <w:bottom w:val="none" w:sz="0" w:space="0" w:color="auto"/>
        <w:right w:val="none" w:sz="0" w:space="0" w:color="auto"/>
      </w:divBdr>
    </w:div>
    <w:div w:id="859046345">
      <w:bodyDiv w:val="1"/>
      <w:marLeft w:val="0"/>
      <w:marRight w:val="0"/>
      <w:marTop w:val="0"/>
      <w:marBottom w:val="0"/>
      <w:divBdr>
        <w:top w:val="none" w:sz="0" w:space="0" w:color="auto"/>
        <w:left w:val="none" w:sz="0" w:space="0" w:color="auto"/>
        <w:bottom w:val="none" w:sz="0" w:space="0" w:color="auto"/>
        <w:right w:val="none" w:sz="0" w:space="0" w:color="auto"/>
      </w:divBdr>
    </w:div>
    <w:div w:id="1010915663">
      <w:bodyDiv w:val="1"/>
      <w:marLeft w:val="0"/>
      <w:marRight w:val="0"/>
      <w:marTop w:val="0"/>
      <w:marBottom w:val="0"/>
      <w:divBdr>
        <w:top w:val="none" w:sz="0" w:space="0" w:color="auto"/>
        <w:left w:val="none" w:sz="0" w:space="0" w:color="auto"/>
        <w:bottom w:val="none" w:sz="0" w:space="0" w:color="auto"/>
        <w:right w:val="none" w:sz="0" w:space="0" w:color="auto"/>
      </w:divBdr>
    </w:div>
    <w:div w:id="1342008108">
      <w:bodyDiv w:val="1"/>
      <w:marLeft w:val="0"/>
      <w:marRight w:val="0"/>
      <w:marTop w:val="0"/>
      <w:marBottom w:val="0"/>
      <w:divBdr>
        <w:top w:val="none" w:sz="0" w:space="0" w:color="auto"/>
        <w:left w:val="none" w:sz="0" w:space="0" w:color="auto"/>
        <w:bottom w:val="none" w:sz="0" w:space="0" w:color="auto"/>
        <w:right w:val="none" w:sz="0" w:space="0" w:color="auto"/>
      </w:divBdr>
    </w:div>
    <w:div w:id="1421292799">
      <w:bodyDiv w:val="1"/>
      <w:marLeft w:val="0"/>
      <w:marRight w:val="0"/>
      <w:marTop w:val="0"/>
      <w:marBottom w:val="0"/>
      <w:divBdr>
        <w:top w:val="none" w:sz="0" w:space="0" w:color="auto"/>
        <w:left w:val="none" w:sz="0" w:space="0" w:color="auto"/>
        <w:bottom w:val="none" w:sz="0" w:space="0" w:color="auto"/>
        <w:right w:val="none" w:sz="0" w:space="0" w:color="auto"/>
      </w:divBdr>
      <w:divsChild>
        <w:div w:id="1280989642">
          <w:marLeft w:val="0"/>
          <w:marRight w:val="0"/>
          <w:marTop w:val="0"/>
          <w:marBottom w:val="0"/>
          <w:divBdr>
            <w:top w:val="none" w:sz="0" w:space="0" w:color="auto"/>
            <w:left w:val="none" w:sz="0" w:space="0" w:color="auto"/>
            <w:bottom w:val="none" w:sz="0" w:space="0" w:color="auto"/>
            <w:right w:val="none" w:sz="0" w:space="0" w:color="auto"/>
          </w:divBdr>
        </w:div>
        <w:div w:id="1299191332">
          <w:marLeft w:val="0"/>
          <w:marRight w:val="0"/>
          <w:marTop w:val="0"/>
          <w:marBottom w:val="0"/>
          <w:divBdr>
            <w:top w:val="none" w:sz="0" w:space="0" w:color="auto"/>
            <w:left w:val="none" w:sz="0" w:space="0" w:color="auto"/>
            <w:bottom w:val="none" w:sz="0" w:space="0" w:color="auto"/>
            <w:right w:val="none" w:sz="0" w:space="0" w:color="auto"/>
          </w:divBdr>
        </w:div>
        <w:div w:id="1337032214">
          <w:marLeft w:val="0"/>
          <w:marRight w:val="0"/>
          <w:marTop w:val="0"/>
          <w:marBottom w:val="0"/>
          <w:divBdr>
            <w:top w:val="none" w:sz="0" w:space="0" w:color="auto"/>
            <w:left w:val="none" w:sz="0" w:space="0" w:color="auto"/>
            <w:bottom w:val="none" w:sz="0" w:space="0" w:color="auto"/>
            <w:right w:val="none" w:sz="0" w:space="0" w:color="auto"/>
          </w:divBdr>
        </w:div>
        <w:div w:id="1698660183">
          <w:marLeft w:val="0"/>
          <w:marRight w:val="0"/>
          <w:marTop w:val="0"/>
          <w:marBottom w:val="0"/>
          <w:divBdr>
            <w:top w:val="none" w:sz="0" w:space="0" w:color="auto"/>
            <w:left w:val="none" w:sz="0" w:space="0" w:color="auto"/>
            <w:bottom w:val="none" w:sz="0" w:space="0" w:color="auto"/>
            <w:right w:val="none" w:sz="0" w:space="0" w:color="auto"/>
          </w:divBdr>
        </w:div>
        <w:div w:id="1954093240">
          <w:marLeft w:val="0"/>
          <w:marRight w:val="0"/>
          <w:marTop w:val="0"/>
          <w:marBottom w:val="0"/>
          <w:divBdr>
            <w:top w:val="none" w:sz="0" w:space="0" w:color="auto"/>
            <w:left w:val="none" w:sz="0" w:space="0" w:color="auto"/>
            <w:bottom w:val="none" w:sz="0" w:space="0" w:color="auto"/>
            <w:right w:val="none" w:sz="0" w:space="0" w:color="auto"/>
          </w:divBdr>
        </w:div>
      </w:divsChild>
    </w:div>
    <w:div w:id="1514568056">
      <w:bodyDiv w:val="1"/>
      <w:marLeft w:val="0"/>
      <w:marRight w:val="0"/>
      <w:marTop w:val="0"/>
      <w:marBottom w:val="0"/>
      <w:divBdr>
        <w:top w:val="none" w:sz="0" w:space="0" w:color="auto"/>
        <w:left w:val="none" w:sz="0" w:space="0" w:color="auto"/>
        <w:bottom w:val="none" w:sz="0" w:space="0" w:color="auto"/>
        <w:right w:val="none" w:sz="0" w:space="0" w:color="auto"/>
      </w:divBdr>
    </w:div>
    <w:div w:id="1683045661">
      <w:bodyDiv w:val="1"/>
      <w:marLeft w:val="0"/>
      <w:marRight w:val="0"/>
      <w:marTop w:val="0"/>
      <w:marBottom w:val="0"/>
      <w:divBdr>
        <w:top w:val="none" w:sz="0" w:space="0" w:color="auto"/>
        <w:left w:val="none" w:sz="0" w:space="0" w:color="auto"/>
        <w:bottom w:val="none" w:sz="0" w:space="0" w:color="auto"/>
        <w:right w:val="none" w:sz="0" w:space="0" w:color="auto"/>
      </w:divBdr>
      <w:divsChild>
        <w:div w:id="114445587">
          <w:marLeft w:val="0"/>
          <w:marRight w:val="0"/>
          <w:marTop w:val="0"/>
          <w:marBottom w:val="0"/>
          <w:divBdr>
            <w:top w:val="none" w:sz="0" w:space="0" w:color="auto"/>
            <w:left w:val="none" w:sz="0" w:space="0" w:color="auto"/>
            <w:bottom w:val="none" w:sz="0" w:space="0" w:color="auto"/>
            <w:right w:val="none" w:sz="0" w:space="0" w:color="auto"/>
          </w:divBdr>
        </w:div>
        <w:div w:id="751241719">
          <w:marLeft w:val="0"/>
          <w:marRight w:val="0"/>
          <w:marTop w:val="0"/>
          <w:marBottom w:val="0"/>
          <w:divBdr>
            <w:top w:val="none" w:sz="0" w:space="0" w:color="auto"/>
            <w:left w:val="none" w:sz="0" w:space="0" w:color="auto"/>
            <w:bottom w:val="none" w:sz="0" w:space="0" w:color="auto"/>
            <w:right w:val="none" w:sz="0" w:space="0" w:color="auto"/>
          </w:divBdr>
        </w:div>
        <w:div w:id="838732058">
          <w:marLeft w:val="0"/>
          <w:marRight w:val="0"/>
          <w:marTop w:val="0"/>
          <w:marBottom w:val="0"/>
          <w:divBdr>
            <w:top w:val="none" w:sz="0" w:space="0" w:color="auto"/>
            <w:left w:val="none" w:sz="0" w:space="0" w:color="auto"/>
            <w:bottom w:val="none" w:sz="0" w:space="0" w:color="auto"/>
            <w:right w:val="none" w:sz="0" w:space="0" w:color="auto"/>
          </w:divBdr>
        </w:div>
        <w:div w:id="1005405082">
          <w:marLeft w:val="0"/>
          <w:marRight w:val="0"/>
          <w:marTop w:val="0"/>
          <w:marBottom w:val="0"/>
          <w:divBdr>
            <w:top w:val="none" w:sz="0" w:space="0" w:color="auto"/>
            <w:left w:val="none" w:sz="0" w:space="0" w:color="auto"/>
            <w:bottom w:val="none" w:sz="0" w:space="0" w:color="auto"/>
            <w:right w:val="none" w:sz="0" w:space="0" w:color="auto"/>
          </w:divBdr>
        </w:div>
        <w:div w:id="12526220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5E14D-7FCE-49D5-87BB-6FC3527A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Savira Aulia Zahrani</dc:creator>
  <cp:keywords>Savira</cp:keywords>
  <dc:description/>
  <cp:lastModifiedBy>Muhamad Fathur Rizki</cp:lastModifiedBy>
  <cp:revision>2</cp:revision>
  <cp:lastPrinted>2024-07-17T03:53:00Z</cp:lastPrinted>
  <dcterms:created xsi:type="dcterms:W3CDTF">2024-08-20T04:48:00Z</dcterms:created>
  <dcterms:modified xsi:type="dcterms:W3CDTF">2024-08-20T04:48:00Z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8ef69aec-52bc-395d-b084-133fb2c07ae0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